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44"/>
          <w:szCs w:val="44"/>
        </w:rPr>
      </w:pPr>
      <w:r>
        <w:rPr>
          <w:rFonts w:hint="eastAsia"/>
          <w:b/>
          <w:bCs/>
          <w:sz w:val="44"/>
          <w:szCs w:val="44"/>
        </w:rPr>
        <w:br w:type="textWrapping"/>
      </w:r>
      <w:bookmarkStart w:id="0" w:name="_GoBack"/>
      <w:bookmarkEnd w:id="0"/>
      <w:r>
        <w:rPr>
          <w:rFonts w:hint="eastAsia"/>
          <w:b/>
          <w:bCs/>
          <w:sz w:val="44"/>
          <w:szCs w:val="44"/>
        </w:rPr>
        <w:t>兔抗NUP88多克隆抗体</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b w:val="0"/>
          <w:bCs w:val="0"/>
          <w:i w:val="0"/>
          <w:iCs w:val="0"/>
          <w:lang w:val="en-US" w:eastAsia="zh-CN"/>
        </w:rPr>
      </w:pPr>
      <w:r>
        <w:rPr>
          <w:rFonts w:hint="eastAsia"/>
          <w:b w:val="0"/>
          <w:bCs w:val="0"/>
          <w:i w:val="0"/>
          <w:iCs w:val="0"/>
          <w:lang w:val="en-US" w:eastAsia="zh-CN"/>
        </w:rPr>
        <w:t xml:space="preserve">中文名称：  兔抗NUP88多克隆抗体 </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英文名</w:t>
      </w:r>
      <w:r>
        <w:rPr>
          <w:rFonts w:hint="eastAsia"/>
          <w:b w:val="0"/>
          <w:bCs w:val="0"/>
          <w:i w:val="0"/>
          <w:iCs w:val="0"/>
          <w:lang w:val="en-US" w:eastAsia="zh-CN"/>
        </w:rPr>
        <w:t>称：</w:t>
      </w:r>
      <w:r>
        <w:rPr>
          <w:rFonts w:hint="eastAsia"/>
        </w:rPr>
        <w:tab/>
      </w:r>
      <w:r>
        <w:rPr>
          <w:rFonts w:hint="eastAsia"/>
        </w:rPr>
        <w:t>Anti-NUP88 rabbit polyclonal antibody</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储</w:t>
      </w:r>
      <w:r>
        <w:rPr>
          <w:rFonts w:hint="eastAsia"/>
          <w:lang w:val="en-US" w:eastAsia="zh-CN"/>
        </w:rPr>
        <w:t xml:space="preserve">    </w:t>
      </w:r>
      <w:r>
        <w:rPr>
          <w:rFonts w:hint="eastAsia"/>
        </w:rPr>
        <w:t>存</w:t>
      </w:r>
      <w:r>
        <w:rPr>
          <w:rFonts w:hint="eastAsia"/>
          <w:b w:val="0"/>
          <w:bCs w:val="0"/>
          <w:i w:val="0"/>
          <w:iCs w:val="0"/>
          <w:lang w:val="en-US" w:eastAsia="zh-CN"/>
        </w:rPr>
        <w:t>：</w:t>
      </w:r>
      <w:r>
        <w:rPr>
          <w:rFonts w:hint="eastAsia"/>
        </w:rPr>
        <w:tab/>
      </w:r>
      <w:r>
        <w:rPr>
          <w:rFonts w:hint="eastAsia"/>
        </w:rPr>
        <w:t>冷冻（-20℃）</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抗</w:t>
      </w:r>
      <w:r>
        <w:rPr>
          <w:rFonts w:hint="eastAsia"/>
          <w:lang w:val="en-US" w:eastAsia="zh-CN"/>
        </w:rPr>
        <w:t xml:space="preserve">    </w:t>
      </w:r>
      <w:r>
        <w:rPr>
          <w:rFonts w:hint="eastAsia"/>
        </w:rPr>
        <w:t>原</w:t>
      </w:r>
      <w:r>
        <w:rPr>
          <w:rFonts w:hint="eastAsia"/>
          <w:b w:val="0"/>
          <w:bCs w:val="0"/>
          <w:i w:val="0"/>
          <w:iCs w:val="0"/>
          <w:lang w:val="en-US" w:eastAsia="zh-CN"/>
        </w:rPr>
        <w:t>：</w:t>
      </w:r>
      <w:r>
        <w:rPr>
          <w:rFonts w:hint="eastAsia"/>
        </w:rPr>
        <w:tab/>
      </w:r>
      <w:r>
        <w:rPr>
          <w:rFonts w:hint="eastAsia"/>
        </w:rPr>
        <w:t>NUP88</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宿</w:t>
      </w:r>
      <w:r>
        <w:rPr>
          <w:rFonts w:hint="eastAsia"/>
          <w:lang w:val="en-US" w:eastAsia="zh-CN"/>
        </w:rPr>
        <w:t xml:space="preserve">    </w:t>
      </w:r>
      <w:r>
        <w:rPr>
          <w:rFonts w:hint="eastAsia"/>
        </w:rPr>
        <w:t>主</w:t>
      </w:r>
      <w:r>
        <w:rPr>
          <w:rFonts w:hint="eastAsia"/>
          <w:b w:val="0"/>
          <w:bCs w:val="0"/>
          <w:i w:val="0"/>
          <w:iCs w:val="0"/>
          <w:lang w:val="en-US" w:eastAsia="zh-CN"/>
        </w:rPr>
        <w:t>：</w:t>
      </w:r>
      <w:r>
        <w:rPr>
          <w:rFonts w:hint="eastAsia"/>
        </w:rPr>
        <w:tab/>
      </w:r>
      <w:r>
        <w:rPr>
          <w:rFonts w:hint="eastAsia"/>
        </w:rPr>
        <w:t>Rabbit</w:t>
      </w:r>
      <w:r>
        <w:rPr>
          <w:rFonts w:hint="eastAsia"/>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反应种属</w:t>
      </w:r>
      <w:r>
        <w:rPr>
          <w:rFonts w:hint="eastAsia"/>
          <w:b w:val="0"/>
          <w:bCs w:val="0"/>
          <w:i w:val="0"/>
          <w:iCs w:val="0"/>
          <w:lang w:val="en-US" w:eastAsia="zh-CN"/>
        </w:rPr>
        <w:t>：</w:t>
      </w:r>
      <w:r>
        <w:rPr>
          <w:rFonts w:hint="eastAsia"/>
        </w:rPr>
        <w:tab/>
      </w:r>
      <w:r>
        <w:rPr>
          <w:rFonts w:hint="eastAsia"/>
        </w:rPr>
        <w:t>Human, Rat</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标</w:t>
      </w:r>
      <w:r>
        <w:rPr>
          <w:rFonts w:hint="eastAsia"/>
          <w:lang w:val="en-US" w:eastAsia="zh-CN"/>
        </w:rPr>
        <w:t xml:space="preserve"> </w:t>
      </w:r>
      <w:r>
        <w:rPr>
          <w:rFonts w:hint="eastAsia"/>
        </w:rPr>
        <w:t>记</w:t>
      </w:r>
      <w:r>
        <w:rPr>
          <w:rFonts w:hint="eastAsia"/>
          <w:lang w:val="en-US" w:eastAsia="zh-CN"/>
        </w:rPr>
        <w:t xml:space="preserve"> </w:t>
      </w:r>
      <w:r>
        <w:rPr>
          <w:rFonts w:hint="eastAsia"/>
        </w:rPr>
        <w:t>物</w:t>
      </w:r>
      <w:r>
        <w:rPr>
          <w:rFonts w:hint="eastAsia"/>
          <w:b w:val="0"/>
          <w:bCs w:val="0"/>
          <w:i w:val="0"/>
          <w:iCs w:val="0"/>
          <w:lang w:val="en-US" w:eastAsia="zh-CN"/>
        </w:rPr>
        <w:t>：</w:t>
      </w:r>
      <w:r>
        <w:rPr>
          <w:rFonts w:hint="eastAsia"/>
        </w:rPr>
        <w:tab/>
      </w:r>
      <w:r>
        <w:rPr>
          <w:rFonts w:hint="eastAsia"/>
        </w:rPr>
        <w:t>Unconjugate</w:t>
      </w:r>
      <w:r>
        <w:rPr>
          <w:rFonts w:hint="eastAsia"/>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rPr>
      </w:pPr>
      <w:r>
        <w:rPr>
          <w:rFonts w:hint="eastAsia"/>
        </w:rPr>
        <w:t>相关类别</w:t>
      </w:r>
      <w:r>
        <w:rPr>
          <w:rFonts w:hint="eastAsia"/>
          <w:b w:val="0"/>
          <w:bCs w:val="0"/>
          <w:i w:val="0"/>
          <w:iCs w:val="0"/>
          <w:lang w:val="en-US" w:eastAsia="zh-CN"/>
        </w:rPr>
        <w:t>：</w:t>
      </w:r>
      <w:r>
        <w:rPr>
          <w:rFonts w:hint="eastAsia"/>
        </w:rPr>
        <w:tab/>
      </w:r>
      <w:r>
        <w:rPr>
          <w:rFonts w:hint="eastAsia"/>
        </w:rPr>
        <w:t>一抗</w:t>
      </w:r>
      <w:r>
        <w:rPr>
          <w:rFonts w:hint="eastAsia"/>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b w:val="0"/>
          <w:bCs/>
        </w:rPr>
      </w:pPr>
      <w:r>
        <w:rPr>
          <w:rFonts w:hint="eastAsia"/>
        </w:rPr>
        <w:t>克隆类型</w:t>
      </w:r>
      <w:r>
        <w:rPr>
          <w:rFonts w:hint="eastAsia"/>
          <w:b w:val="0"/>
          <w:bCs w:val="0"/>
          <w:i w:val="0"/>
          <w:iCs w:val="0"/>
          <w:lang w:val="en-US" w:eastAsia="zh-CN"/>
        </w:rPr>
        <w:t>：</w:t>
      </w:r>
      <w:r>
        <w:rPr>
          <w:rFonts w:hint="eastAsia"/>
        </w:rPr>
        <w:tab/>
      </w:r>
      <w:r>
        <w:rPr>
          <w:rFonts w:hint="eastAsia"/>
        </w:rPr>
        <w:t>rabbit polyclonal</w:t>
      </w:r>
      <w:r>
        <w:rPr>
          <w:rFonts w:hint="eastAsia"/>
        </w:rPr>
        <w:br w:type="textWrapping"/>
      </w:r>
      <w:r>
        <w:rPr>
          <w:rFonts w:hint="eastAsia" w:ascii="微软雅黑" w:hAnsi="微软雅黑" w:eastAsia="微软雅黑" w:cs="微软雅黑"/>
          <w:b w:val="0"/>
          <w:bCs/>
          <w:i w:val="0"/>
          <w:caps w:val="0"/>
          <w:color w:val="222222"/>
          <w:spacing w:val="0"/>
          <w:sz w:val="21"/>
          <w:szCs w:val="21"/>
          <w:shd w:val="clear" w:fill="FFFFFF"/>
        </w:rPr>
        <w:t>技术规格</w:t>
      </w:r>
    </w:p>
    <w:tbl>
      <w:tblPr>
        <w:tblStyle w:val="7"/>
        <w:tblW w:w="8456"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766"/>
        <w:gridCol w:w="5690"/>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Background:</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The nuclear pore complex is a massive structure that extends across the nuclear envelope, forming a gateway that regulates the flow of macromolecules between the nucleus and the cytoplasm. Nucleoporins, a family of 50 to 100 proteins, are the main components of the nuclear pore complex in eukaryotic cells. The protein encoded by this gene belongs to the nucleoporin family and is associated with the oncogenic nucleoporin CAN/Nup214 in a dynamic subcomplex. This protein is also overexpressed in a large number of malignant neoplasms and precancerous dysplasias.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Applications:</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ELISA, IHC</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Name of antibody:</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NUP88</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Immunogen:</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Synthetic peptide of human NUP88</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Full name:</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nucleoporin 88kDa</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SwissProt:</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Q99567</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ELISA Recommended dilution:</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500-1000</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IHC positive control:</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Human colorectal cancer</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PrEx>
        <w:tc>
          <w:tcPr>
            <w:tcW w:w="2766"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IHC Recommend dilution:</w:t>
            </w:r>
          </w:p>
        </w:tc>
        <w:tc>
          <w:tcPr>
            <w:tcW w:w="5690"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25-100</w:t>
            </w:r>
          </w:p>
        </w:tc>
      </w:tr>
    </w:tbl>
    <w:p/>
    <w:p/>
    <w:p>
      <w:pPr>
        <w:jc w:val="center"/>
        <w:rPr>
          <w:rFonts w:hint="eastAsia" w:eastAsiaTheme="minorEastAsia"/>
          <w:lang w:eastAsia="zh-CN"/>
        </w:rPr>
      </w:pPr>
      <w:r>
        <w:rPr>
          <w:rFonts w:hint="eastAsia" w:eastAsiaTheme="minorEastAsia"/>
          <w:lang w:eastAsia="zh-CN"/>
        </w:rPr>
        <w:drawing>
          <wp:inline distT="0" distB="0" distL="114300" distR="114300">
            <wp:extent cx="4572635" cy="3429000"/>
            <wp:effectExtent l="0" t="0" r="18415" b="0"/>
            <wp:docPr id="1" name="图片 1" descr="兔抗NUP88多克隆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兔抗NUP88多克隆抗体"/>
                    <pic:cNvPicPr>
                      <a:picLocks noChangeAspect="1"/>
                    </pic:cNvPicPr>
                  </pic:nvPicPr>
                  <pic:blipFill>
                    <a:blip r:embed="rId5"/>
                    <a:stretch>
                      <a:fillRect/>
                    </a:stretch>
                  </pic:blipFill>
                  <pic:spPr>
                    <a:xfrm>
                      <a:off x="0" y="0"/>
                      <a:ext cx="4572635" cy="342900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rFonts w:hint="eastAsia"/>
        <w:lang w:val="en-US" w:eastAsia="zh-CN"/>
      </w:rPr>
      <w:t xml:space="preserve">  </w:t>
    </w:r>
    <w:r>
      <w:drawing>
        <wp:anchor distT="0" distB="0" distL="114300" distR="114300" simplePos="0" relativeHeight="251661312" behindDoc="1" locked="0" layoutInCell="1" allowOverlap="1">
          <wp:simplePos x="0" y="0"/>
          <wp:positionH relativeFrom="column">
            <wp:posOffset>3568700</wp:posOffset>
          </wp:positionH>
          <wp:positionV relativeFrom="paragraph">
            <wp:posOffset>-182245</wp:posOffset>
          </wp:positionV>
          <wp:extent cx="1490345" cy="642620"/>
          <wp:effectExtent l="0" t="0" r="14605" b="5080"/>
          <wp:wrapTight wrapText="bothSides">
            <wp:wrapPolygon>
              <wp:start x="0" y="0"/>
              <wp:lineTo x="0" y="21130"/>
              <wp:lineTo x="21259" y="21130"/>
              <wp:lineTo x="21259"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r:link="rId2"/>
                  <a:stretch>
                    <a:fillRect/>
                  </a:stretch>
                </pic:blipFill>
                <pic:spPr>
                  <a:xfrm>
                    <a:off x="0" y="0"/>
                    <a:ext cx="1490345" cy="642620"/>
                  </a:xfrm>
                  <a:prstGeom prst="rect">
                    <a:avLst/>
                  </a:prstGeom>
                  <a:noFill/>
                  <a:ln w="9525">
                    <a:noFill/>
                  </a:ln>
                </pic:spPr>
              </pic:pic>
            </a:graphicData>
          </a:graphic>
        </wp:anchor>
      </w:drawing>
    </w:r>
    <w:r>
      <w:drawing>
        <wp:anchor distT="0" distB="0" distL="114300" distR="114300" simplePos="0" relativeHeight="251658240" behindDoc="1" locked="0" layoutInCell="1" allowOverlap="1">
          <wp:simplePos x="0" y="0"/>
          <wp:positionH relativeFrom="page">
            <wp:posOffset>1177290</wp:posOffset>
          </wp:positionH>
          <wp:positionV relativeFrom="page">
            <wp:posOffset>452120</wp:posOffset>
          </wp:positionV>
          <wp:extent cx="2609850" cy="635000"/>
          <wp:effectExtent l="0" t="0" r="0" b="0"/>
          <wp:wrapTight wrapText="bothSides">
            <wp:wrapPolygon>
              <wp:start x="631" y="4536"/>
              <wp:lineTo x="1577" y="14904"/>
              <wp:lineTo x="1577" y="15552"/>
              <wp:lineTo x="11509" y="17496"/>
              <wp:lineTo x="12928" y="17496"/>
              <wp:lineTo x="13086" y="14904"/>
              <wp:lineTo x="20496" y="14904"/>
              <wp:lineTo x="21442" y="13608"/>
              <wp:lineTo x="20812" y="4536"/>
              <wp:lineTo x="631" y="4536"/>
            </wp:wrapPolygon>
          </wp:wrapTight>
          <wp:docPr id="3" name="图片 3" descr="7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202"/>
                  <pic:cNvPicPr>
                    <a:picLocks noChangeAspect="1"/>
                  </pic:cNvPicPr>
                </pic:nvPicPr>
                <pic:blipFill>
                  <a:blip r:embed="rId3"/>
                  <a:stretch>
                    <a:fillRect/>
                  </a:stretch>
                </pic:blipFill>
                <pic:spPr>
                  <a:xfrm>
                    <a:off x="0" y="0"/>
                    <a:ext cx="2609850" cy="63500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4416E"/>
    <w:rsid w:val="1A2515A9"/>
    <w:rsid w:val="23DC0834"/>
    <w:rsid w:val="27A50264"/>
    <w:rsid w:val="3434739D"/>
    <w:rsid w:val="7564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Users\&#23567;&#26032;7000\AppData\Roaming\Tencent\Users\3258454060\QQ\WinTemp\RichOle\P@EFJV$(6K0%2525255B~NGT%2525255DZ%2525257BGJZW.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2020-06-02T06:43:00Z</dcterms:created>
  <dc:creator>文文</dc:creator>
  <cp:lastModifiedBy>Administrator</cp:lastModifiedBy>
  <dcterms:modified xsi:type="dcterms:W3CDTF">2020-09-21T11:48:18Z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