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25316C">
      <w:pPr>
        <w:pStyle w:val="19"/>
        <w:spacing w:line="240" w:lineRule="auto"/>
        <w:jc w:val="center"/>
        <w:rPr>
          <w:rFonts w:hint="eastAsia" w:ascii="微软雅黑" w:hAnsi="微软雅黑" w:eastAsia="微软雅黑"/>
          <w:sz w:val="32"/>
          <w:szCs w:val="32"/>
        </w:rPr>
      </w:pPr>
      <w:r>
        <w:rPr>
          <w:rFonts w:hint="eastAsia" w:ascii="方正舒体" w:hAnsi="方正舒体" w:eastAsia="方正舒体" w:cs="方正舒体"/>
          <w:b/>
          <w:bCs/>
          <w:color w:val="558ED5" w:themeColor="text2" w:themeTint="99"/>
          <w:sz w:val="72"/>
          <w:szCs w:val="72"/>
          <w14:textFill>
            <w14:solidFill>
              <w14:schemeClr w14:val="tx2">
                <w14:lumMod w14:val="60000"/>
                <w14:lumOff w14:val="40000"/>
              </w14:schemeClr>
            </w14:solidFill>
          </w14:textFill>
        </w:rPr>
        <w:drawing>
          <wp:inline distT="0" distB="0" distL="114300" distR="114300">
            <wp:extent cx="3943350" cy="962660"/>
            <wp:effectExtent l="0" t="0" r="0" b="0"/>
            <wp:docPr id="3" name="图片 3" descr="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0"/>
                    <pic:cNvPicPr>
                      <a:picLocks noChangeAspect="1"/>
                    </pic:cNvPicPr>
                  </pic:nvPicPr>
                  <pic:blipFill>
                    <a:blip r:embed="rId8"/>
                    <a:stretch>
                      <a:fillRect/>
                    </a:stretch>
                  </pic:blipFill>
                  <pic:spPr>
                    <a:xfrm>
                      <a:off x="0" y="0"/>
                      <a:ext cx="3943350" cy="962660"/>
                    </a:xfrm>
                    <a:prstGeom prst="rect">
                      <a:avLst/>
                    </a:prstGeom>
                  </pic:spPr>
                </pic:pic>
              </a:graphicData>
            </a:graphic>
          </wp:inline>
        </w:drawing>
      </w:r>
      <w:r>
        <w:rPr>
          <w:rFonts w:hint="eastAsia" w:ascii="方正舒体" w:hAnsi="方正舒体" w:eastAsia="方正舒体" w:cs="方正舒体"/>
          <w:b/>
          <w:bCs/>
          <w:color w:val="558ED5" w:themeColor="text2" w:themeTint="99"/>
          <w:sz w:val="72"/>
          <w:szCs w:val="72"/>
          <w14:textFill>
            <w14:solidFill>
              <w14:schemeClr w14:val="tx2">
                <w14:lumMod w14:val="60000"/>
                <w14:lumOff w14:val="40000"/>
              </w14:schemeClr>
            </w14:solidFill>
          </w14:textFill>
        </w:rPr>
        <w:br w:type="textWrapping"/>
      </w:r>
      <w:r>
        <w:rPr>
          <w:rFonts w:hint="eastAsia" w:ascii="方正舒体" w:hAnsi="方正舒体" w:eastAsia="方正舒体" w:cs="方正舒体"/>
          <w:b/>
          <w:bCs/>
          <w:color w:val="558ED5" w:themeColor="text2" w:themeTint="99"/>
          <w:sz w:val="72"/>
          <w:szCs w:val="72"/>
          <w14:textFill>
            <w14:solidFill>
              <w14:schemeClr w14:val="tx2">
                <w14:lumMod w14:val="60000"/>
                <w14:lumOff w14:val="40000"/>
              </w14:schemeClr>
            </w14:solidFill>
          </w14:textFill>
        </w:rPr>
        <w:br w:type="textWrapping"/>
      </w:r>
      <w:r>
        <w:rPr>
          <w:rFonts w:hint="eastAsia" w:ascii="微软雅黑" w:hAnsi="微软雅黑" w:eastAsia="微软雅黑"/>
          <w:b/>
          <w:bCs/>
          <w:sz w:val="48"/>
          <w:szCs w:val="48"/>
          <w:lang w:val="en-US" w:eastAsia="zh-CN"/>
        </w:rPr>
        <w:t xml:space="preserve">人基质金属蛋白酶8 (MMP-8) </w:t>
      </w:r>
      <w:r>
        <w:rPr>
          <w:rFonts w:hint="eastAsia" w:ascii="微软雅黑" w:hAnsi="微软雅黑" w:eastAsia="微软雅黑"/>
          <w:b/>
          <w:bCs/>
          <w:sz w:val="48"/>
          <w:szCs w:val="48"/>
        </w:rPr>
        <w:t>ELISA</w:t>
      </w:r>
      <w:r>
        <w:rPr>
          <w:rFonts w:hint="eastAsia" w:ascii="微软雅黑" w:hAnsi="微软雅黑" w:eastAsia="微软雅黑"/>
          <w:b/>
          <w:bCs/>
          <w:sz w:val="48"/>
          <w:szCs w:val="48"/>
        </w:rPr>
        <w:br w:type="textWrapping"/>
      </w:r>
      <w:r>
        <w:rPr>
          <w:rFonts w:hint="eastAsia" w:ascii="微软雅黑" w:hAnsi="微软雅黑" w:eastAsia="微软雅黑"/>
          <w:b/>
          <w:bCs/>
          <w:sz w:val="48"/>
          <w:szCs w:val="48"/>
        </w:rPr>
        <w:t>试剂盒</w:t>
      </w:r>
      <w:r>
        <w:rPr>
          <w:rFonts w:hint="eastAsia" w:ascii="微软雅黑" w:hAnsi="微软雅黑" w:eastAsia="微软雅黑"/>
          <w:b/>
          <w:bCs/>
          <w:sz w:val="48"/>
          <w:szCs w:val="48"/>
          <w:lang w:val="en-US" w:eastAsia="zh-CN"/>
        </w:rPr>
        <w:t>科研实验</w:t>
      </w:r>
      <w:r>
        <w:rPr>
          <w:rFonts w:hint="eastAsia" w:ascii="微软雅黑" w:hAnsi="微软雅黑" w:eastAsia="微软雅黑"/>
          <w:b/>
          <w:bCs/>
          <w:color w:val="auto"/>
          <w:sz w:val="48"/>
          <w:szCs w:val="48"/>
        </w:rPr>
        <w:t>说明书</w:t>
      </w:r>
      <w:r>
        <w:rPr>
          <w:rFonts w:hint="eastAsia" w:ascii="微软雅黑" w:hAnsi="微软雅黑" w:eastAsia="微软雅黑"/>
          <w:b/>
          <w:bCs/>
          <w:sz w:val="36"/>
          <w:szCs w:val="36"/>
        </w:rPr>
        <w:br w:type="textWrapping"/>
      </w:r>
      <w:r>
        <w:rPr>
          <w:rFonts w:hint="eastAsia" w:ascii="微软雅黑" w:hAnsi="微软雅黑" w:eastAsia="微软雅黑"/>
          <w:b/>
          <w:bCs/>
          <w:sz w:val="36"/>
          <w:szCs w:val="36"/>
          <w:lang w:val="en-US" w:eastAsia="zh-CN"/>
        </w:rPr>
        <w:t xml:space="preserve">  </w:t>
      </w:r>
    </w:p>
    <w:p w14:paraId="1AE5E536">
      <w:pPr>
        <w:pStyle w:val="21"/>
        <w:snapToGrid w:val="0"/>
        <w:spacing w:after="1720" w:line="360" w:lineRule="auto"/>
        <w:ind w:firstLine="1068" w:firstLineChars="300"/>
        <w:contextualSpacing/>
        <w:rPr>
          <w:rFonts w:hint="eastAsia" w:ascii="微软雅黑" w:hAnsi="微软雅黑" w:eastAsia="微软雅黑"/>
          <w:color w:val="000000" w:themeColor="text1"/>
          <w:sz w:val="32"/>
          <w:szCs w:val="32"/>
          <w:lang w:eastAsia="zh-CN"/>
          <w14:textFill>
            <w14:solidFill>
              <w14:schemeClr w14:val="tx1"/>
            </w14:solidFill>
          </w14:textFill>
        </w:rPr>
      </w:pPr>
      <w:r>
        <w:rPr>
          <w:rFonts w:hint="eastAsia" w:ascii="微软雅黑" w:hAnsi="微软雅黑" w:eastAsia="微软雅黑"/>
          <w:color w:val="000000" w:themeColor="text1"/>
          <w:spacing w:val="18"/>
          <w:kern w:val="0"/>
          <w:sz w:val="32"/>
          <w:szCs w:val="32"/>
          <w:fitText w:val="1280" w:id="-878882047"/>
          <w14:textFill>
            <w14:solidFill>
              <w14:schemeClr w14:val="tx1"/>
            </w14:solidFill>
          </w14:textFill>
        </w:rPr>
        <w:t>●货号</w:t>
      </w:r>
      <w:r>
        <w:rPr>
          <w:rFonts w:hint="eastAsia" w:ascii="微软雅黑" w:hAnsi="微软雅黑" w:eastAsia="微软雅黑"/>
          <w:color w:val="000000" w:themeColor="text1"/>
          <w:spacing w:val="1"/>
          <w:kern w:val="0"/>
          <w:sz w:val="32"/>
          <w:szCs w:val="32"/>
          <w:fitText w:val="1280" w:id="-878882047"/>
          <w14:textFill>
            <w14:solidFill>
              <w14:schemeClr w14:val="tx1"/>
            </w14:solidFill>
          </w14:textFill>
        </w:rPr>
        <w:t>：</w:t>
      </w:r>
      <w:r>
        <w:rPr>
          <w:rFonts w:hint="eastAsia" w:ascii="微软雅黑" w:hAnsi="微软雅黑" w:eastAsia="微软雅黑"/>
          <w:color w:val="000000" w:themeColor="text1"/>
          <w:kern w:val="0"/>
          <w:sz w:val="32"/>
          <w:szCs w:val="32"/>
          <w:lang w:val="en-US" w:eastAsia="zh-CN"/>
          <w14:textFill>
            <w14:solidFill>
              <w14:schemeClr w14:val="tx1"/>
            </w14:solidFill>
          </w14:textFill>
        </w:rPr>
        <w:t xml:space="preserve"> </w:t>
      </w:r>
      <w:r>
        <w:rPr>
          <w:rFonts w:hint="eastAsia" w:ascii="微软雅黑" w:hAnsi="微软雅黑" w:eastAsia="微软雅黑" w:cs="Times New Roman"/>
          <w:color w:val="000000" w:themeColor="text1"/>
          <w:kern w:val="0"/>
          <w:sz w:val="32"/>
          <w:szCs w:val="32"/>
          <w:lang w:val="en-US" w:eastAsia="zh-CN" w:bidi="ar-SA"/>
          <w14:textFill>
            <w14:solidFill>
              <w14:schemeClr w14:val="tx1"/>
            </w14:solidFill>
          </w14:textFill>
        </w:rPr>
        <w:t xml:space="preserve">TW-E9214 </w:t>
      </w:r>
      <w:r>
        <w:rPr>
          <w:rFonts w:hint="eastAsia" w:ascii="微软雅黑" w:hAnsi="微软雅黑" w:eastAsia="微软雅黑"/>
          <w:color w:val="000000" w:themeColor="text1"/>
          <w:sz w:val="32"/>
          <w:szCs w:val="32"/>
          <w:lang w:val="en-US" w:eastAsia="zh-CN"/>
          <w14:textFill>
            <w14:solidFill>
              <w14:schemeClr w14:val="tx1"/>
            </w14:solidFill>
          </w14:textFill>
        </w:rPr>
        <w:t xml:space="preserve">       </w:t>
      </w:r>
      <w:r>
        <w:rPr>
          <w:rFonts w:hint="eastAsia" w:ascii="微软雅黑" w:hAnsi="微软雅黑" w:eastAsia="微软雅黑"/>
          <w:color w:val="000000" w:themeColor="text1"/>
          <w:spacing w:val="11"/>
          <w:kern w:val="0"/>
          <w:sz w:val="32"/>
          <w:szCs w:val="32"/>
          <w:fitText w:val="1920" w:id="-878881788"/>
          <w14:textFill>
            <w14:solidFill>
              <w14:schemeClr w14:val="tx1"/>
            </w14:solidFill>
          </w14:textFill>
        </w:rPr>
        <w:t>●检测范围</w:t>
      </w:r>
      <w:r>
        <w:rPr>
          <w:rFonts w:hint="eastAsia" w:ascii="微软雅黑" w:hAnsi="微软雅黑" w:eastAsia="微软雅黑"/>
          <w:color w:val="000000" w:themeColor="text1"/>
          <w:spacing w:val="0"/>
          <w:kern w:val="0"/>
          <w:sz w:val="32"/>
          <w:szCs w:val="32"/>
          <w:fitText w:val="1920" w:id="-878881788"/>
          <w14:textFill>
            <w14:solidFill>
              <w14:schemeClr w14:val="tx1"/>
            </w14:solidFill>
          </w14:textFill>
        </w:rPr>
        <w:t>：</w:t>
      </w:r>
      <w:r>
        <w:rPr>
          <w:rFonts w:hint="eastAsia" w:ascii="微软雅黑" w:hAnsi="微软雅黑" w:eastAsia="微软雅黑"/>
          <w:color w:val="000000" w:themeColor="text1"/>
          <w:kern w:val="0"/>
          <w:sz w:val="32"/>
          <w:szCs w:val="32"/>
          <w:lang w:val="en-US" w:eastAsia="zh-CN"/>
          <w14:textFill>
            <w14:solidFill>
              <w14:schemeClr w14:val="tx1"/>
            </w14:solidFill>
          </w14:textFill>
        </w:rPr>
        <w:t xml:space="preserve"> 0.781~50ng/mL</w:t>
      </w:r>
    </w:p>
    <w:p w14:paraId="00970E74">
      <w:pPr>
        <w:pStyle w:val="21"/>
        <w:snapToGrid w:val="0"/>
        <w:spacing w:after="1720" w:line="360" w:lineRule="auto"/>
        <w:ind w:firstLine="1068" w:firstLineChars="300"/>
        <w:contextualSpacing/>
        <w:rPr>
          <w:rFonts w:hint="eastAsia" w:ascii="微软雅黑" w:hAnsi="微软雅黑" w:eastAsia="微软雅黑"/>
          <w:color w:val="000000" w:themeColor="text1"/>
          <w:sz w:val="32"/>
          <w:szCs w:val="32"/>
          <w14:textFill>
            <w14:solidFill>
              <w14:schemeClr w14:val="tx1"/>
            </w14:solidFill>
          </w14:textFill>
        </w:rPr>
      </w:pPr>
      <w:r>
        <w:rPr>
          <w:rFonts w:hint="eastAsia" w:ascii="微软雅黑" w:hAnsi="微软雅黑" w:eastAsia="微软雅黑"/>
          <w:color w:val="000000" w:themeColor="text1"/>
          <w:spacing w:val="18"/>
          <w:kern w:val="0"/>
          <w:sz w:val="32"/>
          <w:szCs w:val="32"/>
          <w:fitText w:val="1280" w:id="-878881792"/>
          <w14:textFill>
            <w14:solidFill>
              <w14:schemeClr w14:val="tx1"/>
            </w14:solidFill>
          </w14:textFill>
        </w:rPr>
        <w:t>●规格</w:t>
      </w:r>
      <w:r>
        <w:rPr>
          <w:rFonts w:hint="eastAsia" w:ascii="微软雅黑" w:hAnsi="微软雅黑" w:eastAsia="微软雅黑"/>
          <w:color w:val="000000" w:themeColor="text1"/>
          <w:spacing w:val="1"/>
          <w:kern w:val="0"/>
          <w:sz w:val="32"/>
          <w:szCs w:val="32"/>
          <w:fitText w:val="1280" w:id="-878881792"/>
          <w14:textFill>
            <w14:solidFill>
              <w14:schemeClr w14:val="tx1"/>
            </w14:solidFill>
          </w14:textFill>
        </w:rPr>
        <w:t>：</w:t>
      </w:r>
      <w:r>
        <w:rPr>
          <w:rFonts w:hint="eastAsia" w:ascii="微软雅黑" w:hAnsi="微软雅黑" w:eastAsia="微软雅黑"/>
          <w:color w:val="000000" w:themeColor="text1"/>
          <w:sz w:val="32"/>
          <w:szCs w:val="32"/>
          <w14:textFill>
            <w14:solidFill>
              <w14:schemeClr w14:val="tx1"/>
            </w14:solidFill>
          </w14:textFill>
        </w:rPr>
        <w:t xml:space="preserve"> 96T/48T          </w:t>
      </w:r>
      <w:r>
        <w:rPr>
          <w:rFonts w:hint="eastAsia" w:ascii="微软雅黑" w:hAnsi="微软雅黑" w:eastAsia="微软雅黑"/>
          <w:color w:val="000000" w:themeColor="text1"/>
          <w:spacing w:val="11"/>
          <w:kern w:val="0"/>
          <w:sz w:val="32"/>
          <w:szCs w:val="32"/>
          <w:fitText w:val="1920" w:id="-878881787"/>
          <w14:textFill>
            <w14:solidFill>
              <w14:schemeClr w14:val="tx1"/>
            </w14:solidFill>
          </w14:textFill>
        </w:rPr>
        <w:t>●保存温度</w:t>
      </w:r>
      <w:r>
        <w:rPr>
          <w:rFonts w:hint="eastAsia" w:ascii="微软雅黑" w:hAnsi="微软雅黑" w:eastAsia="微软雅黑"/>
          <w:color w:val="000000" w:themeColor="text1"/>
          <w:spacing w:val="0"/>
          <w:kern w:val="0"/>
          <w:sz w:val="32"/>
          <w:szCs w:val="32"/>
          <w:fitText w:val="1920" w:id="-878881787"/>
          <w14:textFill>
            <w14:solidFill>
              <w14:schemeClr w14:val="tx1"/>
            </w14:solidFill>
          </w14:textFill>
        </w:rPr>
        <w:t>：</w:t>
      </w:r>
      <w:r>
        <w:rPr>
          <w:rFonts w:hint="eastAsia" w:ascii="微软雅黑" w:hAnsi="微软雅黑" w:eastAsia="微软雅黑"/>
          <w:color w:val="000000" w:themeColor="text1"/>
          <w:sz w:val="32"/>
          <w:szCs w:val="32"/>
          <w14:textFill>
            <w14:solidFill>
              <w14:schemeClr w14:val="tx1"/>
            </w14:solidFill>
          </w14:textFill>
        </w:rPr>
        <w:t xml:space="preserve"> 2-8℃</w:t>
      </w:r>
    </w:p>
    <w:p w14:paraId="03ABAFEA">
      <w:pPr>
        <w:pStyle w:val="21"/>
        <w:snapToGrid w:val="0"/>
        <w:spacing w:after="1720" w:line="360" w:lineRule="auto"/>
        <w:ind w:firstLine="1068" w:firstLineChars="300"/>
        <w:contextualSpacing/>
        <w:rPr>
          <w:rFonts w:eastAsia="微软雅黑"/>
          <w:color w:val="E46C0A" w:themeColor="accent6" w:themeShade="BF"/>
        </w:rPr>
      </w:pPr>
      <w:r>
        <w:rPr>
          <w:rFonts w:hint="eastAsia" w:ascii="微软雅黑" w:hAnsi="微软雅黑" w:eastAsia="微软雅黑"/>
          <w:color w:val="000000" w:themeColor="text1"/>
          <w:spacing w:val="18"/>
          <w:kern w:val="0"/>
          <w:sz w:val="32"/>
          <w:szCs w:val="32"/>
          <w:fitText w:val="1280" w:id="-878881791"/>
          <w14:textFill>
            <w14:solidFill>
              <w14:schemeClr w14:val="tx1"/>
            </w14:solidFill>
          </w14:textFill>
        </w:rPr>
        <w:t>●种属</w:t>
      </w:r>
      <w:r>
        <w:rPr>
          <w:rFonts w:hint="eastAsia" w:ascii="微软雅黑" w:hAnsi="微软雅黑" w:eastAsia="微软雅黑"/>
          <w:color w:val="000000" w:themeColor="text1"/>
          <w:spacing w:val="1"/>
          <w:kern w:val="0"/>
          <w:sz w:val="32"/>
          <w:szCs w:val="32"/>
          <w:fitText w:val="1280" w:id="-878881791"/>
          <w14:textFill>
            <w14:solidFill>
              <w14:schemeClr w14:val="tx1"/>
            </w14:solidFill>
          </w14:textFill>
        </w:rPr>
        <w:t>：</w:t>
      </w:r>
      <w:r>
        <w:rPr>
          <w:rFonts w:hint="eastAsia" w:ascii="微软雅黑" w:hAnsi="微软雅黑" w:eastAsia="微软雅黑"/>
          <w:color w:val="000000" w:themeColor="text1"/>
          <w:sz w:val="32"/>
          <w:szCs w:val="32"/>
          <w14:textFill>
            <w14:solidFill>
              <w14:schemeClr w14:val="tx1"/>
            </w14:solidFill>
          </w14:textFill>
        </w:rPr>
        <w:t xml:space="preserve"> </w:t>
      </w:r>
      <w:r>
        <w:rPr>
          <w:rFonts w:hint="eastAsia" w:ascii="微软雅黑" w:hAnsi="微软雅黑" w:eastAsia="微软雅黑"/>
          <w:color w:val="000000" w:themeColor="text1"/>
          <w:sz w:val="32"/>
          <w:szCs w:val="32"/>
          <w:lang w:eastAsia="zh-CN"/>
          <w14:textFill>
            <w14:solidFill>
              <w14:schemeClr w14:val="tx1"/>
            </w14:solidFill>
          </w14:textFill>
        </w:rPr>
        <w:t>人</w:t>
      </w:r>
      <w:r>
        <w:rPr>
          <w:rFonts w:hint="eastAsia" w:ascii="微软雅黑" w:hAnsi="微软雅黑" w:eastAsia="微软雅黑"/>
          <w:color w:val="000000" w:themeColor="text1"/>
          <w:sz w:val="32"/>
          <w:szCs w:val="32"/>
          <w14:textFill>
            <w14:solidFill>
              <w14:schemeClr w14:val="tx1"/>
            </w14:solidFill>
          </w14:textFill>
        </w:rPr>
        <w:t xml:space="preserve">          </w:t>
      </w:r>
      <w:r>
        <w:rPr>
          <w:rFonts w:hint="eastAsia" w:ascii="微软雅黑" w:hAnsi="微软雅黑" w:eastAsia="微软雅黑"/>
          <w:color w:val="000000" w:themeColor="text1"/>
          <w:sz w:val="32"/>
          <w:szCs w:val="32"/>
          <w:lang w:val="en-US" w:eastAsia="zh-CN"/>
          <w14:textFill>
            <w14:solidFill>
              <w14:schemeClr w14:val="tx1"/>
            </w14:solidFill>
          </w14:textFill>
        </w:rPr>
        <w:t xml:space="preserve">      </w:t>
      </w:r>
      <w:r>
        <w:rPr>
          <w:rFonts w:hint="eastAsia" w:ascii="微软雅黑" w:hAnsi="微软雅黑" w:eastAsia="微软雅黑"/>
          <w:color w:val="000000" w:themeColor="text1"/>
          <w:spacing w:val="53"/>
          <w:kern w:val="0"/>
          <w:sz w:val="32"/>
          <w:szCs w:val="32"/>
          <w:fitText w:val="1920" w:id="-878881786"/>
          <w14:textFill>
            <w14:solidFill>
              <w14:schemeClr w14:val="tx1"/>
            </w14:solidFill>
          </w14:textFill>
        </w:rPr>
        <w:t>●有效期</w:t>
      </w:r>
      <w:r>
        <w:rPr>
          <w:rFonts w:hint="eastAsia" w:ascii="微软雅黑" w:hAnsi="微软雅黑" w:eastAsia="微软雅黑"/>
          <w:color w:val="000000" w:themeColor="text1"/>
          <w:spacing w:val="3"/>
          <w:kern w:val="0"/>
          <w:sz w:val="32"/>
          <w:szCs w:val="32"/>
          <w:fitText w:val="1920" w:id="-878881786"/>
          <w14:textFill>
            <w14:solidFill>
              <w14:schemeClr w14:val="tx1"/>
            </w14:solidFill>
          </w14:textFill>
        </w:rPr>
        <w:t>：</w:t>
      </w:r>
      <w:r>
        <w:rPr>
          <w:rFonts w:hint="eastAsia" w:ascii="微软雅黑" w:hAnsi="微软雅黑" w:eastAsia="微软雅黑"/>
          <w:color w:val="000000" w:themeColor="text1"/>
          <w:sz w:val="32"/>
          <w:szCs w:val="32"/>
          <w14:textFill>
            <w14:solidFill>
              <w14:schemeClr w14:val="tx1"/>
            </w14:solidFill>
          </w14:textFill>
        </w:rPr>
        <w:t xml:space="preserve"> 6个月</w:t>
      </w:r>
      <w:r>
        <w:rPr>
          <w:rFonts w:hint="eastAsia" w:ascii="微软雅黑" w:hAnsi="微软雅黑" w:eastAsia="微软雅黑"/>
          <w:color w:val="000000" w:themeColor="text1"/>
          <w:sz w:val="32"/>
          <w:szCs w:val="32"/>
          <w14:textFill>
            <w14:solidFill>
              <w14:schemeClr w14:val="tx1"/>
            </w14:solidFill>
          </w14:textFill>
        </w:rPr>
        <w:br w:type="textWrapping"/>
      </w:r>
      <w:r>
        <w:rPr>
          <w:rFonts w:hint="eastAsia" w:ascii="微软雅黑" w:hAnsi="微软雅黑" w:eastAsia="微软雅黑"/>
          <w:color w:val="000000" w:themeColor="text1"/>
          <w:sz w:val="32"/>
          <w:szCs w:val="32"/>
          <w14:textFill>
            <w14:solidFill>
              <w14:schemeClr w14:val="tx1"/>
            </w14:solidFill>
          </w14:textFill>
        </w:rPr>
        <w:br w:type="textWrapping"/>
      </w:r>
      <w:r>
        <w:rPr>
          <w:rFonts w:hint="eastAsia" w:ascii="微软雅黑" w:hAnsi="微软雅黑" w:eastAsia="微软雅黑"/>
          <w:color w:val="000000" w:themeColor="text1"/>
          <w:sz w:val="30"/>
          <w:szCs w:val="30"/>
          <w14:textFill>
            <w14:solidFill>
              <w14:schemeClr w14:val="tx1"/>
            </w14:solidFill>
          </w14:textFill>
        </w:rPr>
        <w:br w:type="textWrapping"/>
      </w:r>
      <w:r>
        <w:rPr>
          <w:rFonts w:hint="eastAsia" w:ascii="微软雅黑" w:hAnsi="微软雅黑" w:eastAsia="微软雅黑" w:cs="Times New Roman"/>
          <w:color w:val="000000" w:themeColor="text1"/>
          <w:sz w:val="30"/>
          <w:szCs w:val="30"/>
          <w14:textFill>
            <w14:solidFill>
              <w14:schemeClr w14:val="tx1"/>
            </w14:solidFill>
          </w14:textFill>
        </w:rPr>
        <w:t>产品仅供教研使用，</w:t>
      </w:r>
      <w:r>
        <w:rPr>
          <w:rFonts w:hint="eastAsia" w:ascii="微软雅黑" w:hAnsi="微软雅黑" w:eastAsia="微软雅黑"/>
          <w:color w:val="000000" w:themeColor="text1"/>
          <w:sz w:val="30"/>
          <w:szCs w:val="30"/>
          <w14:textFill>
            <w14:solidFill>
              <w14:schemeClr w14:val="tx1"/>
            </w14:solidFill>
          </w14:textFill>
        </w:rPr>
        <w:t>用于定量检测细胞培养上清、血清、血浆中</w:t>
      </w:r>
      <w:r>
        <w:rPr>
          <w:rFonts w:hint="eastAsia" w:ascii="微软雅黑" w:hAnsi="微软雅黑" w:eastAsia="微软雅黑"/>
          <w:color w:val="000000" w:themeColor="text1"/>
          <w:sz w:val="30"/>
          <w:szCs w:val="30"/>
          <w:lang w:eastAsia="zh-CN"/>
          <w14:textFill>
            <w14:solidFill>
              <w14:schemeClr w14:val="tx1"/>
            </w14:solidFill>
          </w14:textFill>
        </w:rPr>
        <w:t>人MMP-8</w:t>
      </w:r>
      <w:r>
        <w:rPr>
          <w:rFonts w:hint="eastAsia" w:ascii="微软雅黑" w:hAnsi="微软雅黑" w:eastAsia="微软雅黑"/>
          <w:color w:val="000000" w:themeColor="text1"/>
          <w:sz w:val="30"/>
          <w:szCs w:val="30"/>
          <w:lang w:val="en-US" w:eastAsia="zh-CN"/>
          <w14:textFill>
            <w14:solidFill>
              <w14:schemeClr w14:val="tx1"/>
            </w14:solidFill>
          </w14:textFill>
        </w:rPr>
        <w:t>。</w:t>
      </w:r>
      <w:r>
        <w:rPr>
          <w:rFonts w:hint="eastAsia" w:ascii="微软雅黑" w:hAnsi="微软雅黑" w:eastAsia="微软雅黑"/>
          <w:color w:val="000000" w:themeColor="text1"/>
          <w:sz w:val="30"/>
          <w:szCs w:val="30"/>
          <w:lang w:val="en-US" w:eastAsia="zh-CN"/>
          <w14:textFill>
            <w14:solidFill>
              <w14:schemeClr w14:val="tx1"/>
            </w14:solidFill>
          </w14:textFill>
        </w:rPr>
        <w:br w:type="textWrapping"/>
      </w:r>
      <w:r>
        <w:rPr>
          <w:rFonts w:hint="eastAsia" w:ascii="微软雅黑" w:hAnsi="微软雅黑" w:eastAsia="微软雅黑"/>
          <w:b w:val="0"/>
          <w:bCs w:val="0"/>
          <w:color w:val="auto"/>
          <w:sz w:val="30"/>
          <w:szCs w:val="30"/>
        </w:rPr>
        <w:t>使用本产品之前，必须完整阅读本说明书。仅供科研使用，不能于临床诊断或治疗。</w:t>
      </w:r>
    </w:p>
    <w:p w14:paraId="4354FB74">
      <w:pPr>
        <w:pStyle w:val="24"/>
        <w:rPr>
          <w:rFonts w:hint="eastAsia" w:ascii="微软雅黑" w:hAnsi="微软雅黑" w:eastAsia="微软雅黑"/>
          <w:b/>
          <w:bCs/>
          <w:color w:val="00B050"/>
          <w:kern w:val="2"/>
          <w:sz w:val="32"/>
          <w:szCs w:val="32"/>
        </w:rPr>
      </w:pPr>
      <w:bookmarkStart w:id="0" w:name="_Toc164420454"/>
      <w:r>
        <w:rPr>
          <w:rFonts w:hint="eastAsia" w:ascii="微软雅黑" w:hAnsi="微软雅黑" w:eastAsia="微软雅黑"/>
          <w:b/>
          <w:bCs/>
          <w:color w:val="558ED5" w:themeColor="text2" w:themeTint="99"/>
          <w:kern w:val="2"/>
          <w:sz w:val="32"/>
          <w:szCs w:val="32"/>
          <w14:textFill>
            <w14:solidFill>
              <w14:schemeClr w14:val="tx2">
                <w14:lumMod w14:val="60000"/>
                <w14:lumOff w14:val="40000"/>
              </w14:schemeClr>
            </w14:solidFill>
          </w14:textFill>
        </w:rPr>
        <w:br w:type="textWrapping"/>
      </w:r>
      <w:r>
        <w:rPr>
          <w:rFonts w:hint="eastAsia" w:ascii="微软雅黑" w:hAnsi="微软雅黑" w:eastAsia="微软雅黑"/>
          <w:b/>
          <w:bCs/>
          <w:color w:val="auto"/>
          <w:kern w:val="2"/>
          <w:sz w:val="32"/>
          <w:szCs w:val="32"/>
          <w:u w:val="single"/>
        </w:rPr>
        <w:t>简介</w:t>
      </w:r>
      <w:bookmarkEnd w:id="0"/>
      <w:r>
        <w:rPr>
          <w:rFonts w:hint="eastAsia"/>
          <w:color w:val="E46C0A" w:themeColor="accent6" w:themeShade="BF"/>
          <w:sz w:val="32"/>
          <w:szCs w:val="32"/>
        </w:rPr>
        <w:t xml:space="preserve"> </w:t>
      </w:r>
    </w:p>
    <w:p w14:paraId="2E3F7911">
      <w:pPr>
        <w:pStyle w:val="10"/>
        <w:rPr>
          <w:rFonts w:hint="eastAsia"/>
          <w:color w:val="558ED5" w:themeColor="text2" w:themeTint="99"/>
          <w:sz w:val="30"/>
          <w:szCs w:val="30"/>
          <w14:textFill>
            <w14:solidFill>
              <w14:schemeClr w14:val="tx2">
                <w14:lumMod w14:val="60000"/>
                <w14:lumOff w14:val="40000"/>
              </w14:schemeClr>
            </w14:solidFill>
          </w14:textFill>
        </w:rPr>
      </w:pPr>
      <w:bookmarkStart w:id="1" w:name="_Toc164420455"/>
      <w:r>
        <w:rPr>
          <w:rFonts w:hint="eastAsia" w:cs="Times New Roman"/>
          <w:b w:val="0"/>
          <w:bCs w:val="0"/>
          <w:color w:val="000000" w:themeColor="text1"/>
          <w:sz w:val="28"/>
          <w:szCs w:val="28"/>
          <w:lang w:val="en-US" w:eastAsia="zh-CN"/>
          <w14:textFill>
            <w14:solidFill>
              <w14:schemeClr w14:val="tx1"/>
            </w14:solidFill>
          </w14:textFill>
        </w:rPr>
        <w:t>基质金属蛋白酶-8（MMP-8），又称中性粒细胞胶原酶，是一种胶原蛋白的裂解酶，存在于大多数哺乳动物的结缔组织中。该基因是定位于染色体11q22.3的MMP基因组的一部分。大多数MMP是以非活性原蛋白的形式分泌的，当被细胞外蛋白酶裂解时被激活。然而，该基因所编码的酶储存在中性粒细胞内的次级颗粒中，并通过自溶裂解被激活。基质金属蛋白酶（MMP）家族的蛋白质参与正常生理过程中细胞外基质的分解，如胚胎发育、生殖和组织重塑，以及疾病过程，如关节炎和转移。MMP-8的主要功能是降解I、II和III型胶原蛋白。</w:t>
      </w:r>
      <w:r>
        <w:rPr>
          <w:rFonts w:hint="eastAsia" w:cs="Times New Roman"/>
          <w:b w:val="0"/>
          <w:bCs w:val="0"/>
          <w:color w:val="000000" w:themeColor="text1"/>
          <w:sz w:val="28"/>
          <w:szCs w:val="28"/>
          <w:lang w:val="en-US" w:eastAsia="zh-CN"/>
          <w14:textFill>
            <w14:solidFill>
              <w14:schemeClr w14:val="tx1"/>
            </w14:solidFill>
          </w14:textFill>
        </w:rPr>
        <w:br w:type="textWrapping"/>
      </w:r>
      <w:r>
        <w:rPr>
          <w:rFonts w:hint="eastAsia"/>
          <w:color w:val="000000"/>
          <w:sz w:val="30"/>
          <w:szCs w:val="30"/>
          <w14:textFill>
            <w14:solidFill>
              <w14:srgbClr w14:val="000000">
                <w14:lumMod w14:val="60000"/>
                <w14:lumOff w14:val="40000"/>
              </w14:srgbClr>
            </w14:solidFill>
          </w14:textFill>
        </w:rPr>
        <w:br w:type="textWrapping"/>
      </w:r>
      <w:r>
        <w:rPr>
          <w:rFonts w:hint="eastAsia"/>
          <w:color w:val="auto"/>
          <w:sz w:val="32"/>
          <w:szCs w:val="32"/>
          <w:u w:val="single"/>
        </w:rPr>
        <w:t>检测原理</w:t>
      </w:r>
      <w:bookmarkEnd w:id="1"/>
    </w:p>
    <w:p w14:paraId="5414588B">
      <w:pPr>
        <w:pStyle w:val="22"/>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本试剂盒采用双抗体夹心法ELISA技术:将捕获抗体包被于酶标板上，捕获样品及标准品中的待测物</w:t>
      </w:r>
      <w:r>
        <w:rPr>
          <w:rFonts w:hint="eastAsia" w:ascii="微软雅黑" w:hAnsi="微软雅黑" w:eastAsia="微软雅黑" w:cs="微软雅黑"/>
          <w:color w:val="000000" w:themeColor="text1"/>
          <w:lang w:val="en-US" w:eastAsia="zh-CN"/>
          <w14:textFill>
            <w14:solidFill>
              <w14:schemeClr w14:val="tx1"/>
            </w14:solidFill>
          </w14:textFill>
        </w:rPr>
        <w:t>MMP-8</w:t>
      </w:r>
      <w:r>
        <w:rPr>
          <w:rFonts w:hint="eastAsia" w:ascii="微软雅黑" w:hAnsi="微软雅黑" w:eastAsia="微软雅黑" w:cs="微软雅黑"/>
          <w:color w:val="000000" w:themeColor="text1"/>
          <w14:textFill>
            <w14:solidFill>
              <w14:schemeClr w14:val="tx1"/>
            </w14:solidFill>
          </w14:textFill>
        </w:rPr>
        <w:t>，清洗后，再加入生物素标记的检测抗体进行孵育后清洗，形成“捕获抗体-抗原-检测抗体”免疫复合物，随后加入链霉亲和素偶联的辣根过氧化物酶进行孵育，待孵育结束后清洗，接着加入TMB显色后，若样本中有待测物则显蓝色，加入终止液停止反应。检测过程中游离的成分均被洗去，用酶标仪在450 nm处测OD值，颜色的深浅和样品中的待测物的含量呈正比，通过绘制标准曲线计算出样本中</w:t>
      </w:r>
      <w:r>
        <w:rPr>
          <w:rFonts w:hint="eastAsia" w:ascii="微软雅黑" w:hAnsi="微软雅黑" w:eastAsia="微软雅黑" w:cs="微软雅黑"/>
          <w:color w:val="000000" w:themeColor="text1"/>
          <w:lang w:eastAsia="zh-CN"/>
          <w14:textFill>
            <w14:solidFill>
              <w14:schemeClr w14:val="tx1"/>
            </w14:solidFill>
          </w14:textFill>
        </w:rPr>
        <w:t>MMP-8</w:t>
      </w:r>
      <w:r>
        <w:rPr>
          <w:rFonts w:hint="eastAsia" w:ascii="微软雅黑" w:hAnsi="微软雅黑" w:eastAsia="微软雅黑" w:cs="微软雅黑"/>
          <w:color w:val="000000" w:themeColor="text1"/>
          <w14:textFill>
            <w14:solidFill>
              <w14:schemeClr w14:val="tx1"/>
            </w14:solidFill>
          </w14:textFill>
        </w:rPr>
        <w:t>的浓度。</w:t>
      </w:r>
      <w:bookmarkStart w:id="2" w:name="_Toc164420456"/>
    </w:p>
    <w:p w14:paraId="2B959E65">
      <w:pPr>
        <w:pStyle w:val="10"/>
        <w:rPr>
          <w:rFonts w:hint="eastAsia"/>
          <w:color w:val="auto"/>
          <w:u w:val="single"/>
        </w:rPr>
      </w:pPr>
      <w:r>
        <w:rPr>
          <w:rFonts w:hint="eastAsia"/>
          <w:color w:val="auto"/>
          <w:u w:val="single"/>
        </w:rPr>
        <w:t>检测实验的局限性</w:t>
      </w:r>
      <w:bookmarkEnd w:id="2"/>
    </w:p>
    <w:p w14:paraId="25EA50A0">
      <w:pPr>
        <w:pStyle w:val="23"/>
        <w:ind w:firstLine="560" w:firstLineChars="200"/>
        <w:rPr>
          <w:rFonts w:hint="eastAsia" w:ascii="微软雅黑" w:hAnsi="微软雅黑" w:eastAsia="微软雅黑"/>
          <w:color w:val="000000"/>
          <w:sz w:val="28"/>
          <w:szCs w:val="28"/>
        </w:rPr>
      </w:pPr>
      <w:r>
        <w:rPr>
          <w:rFonts w:hint="eastAsia" w:ascii="微软雅黑" w:hAnsi="微软雅黑" w:eastAsia="微软雅黑"/>
          <w:color w:val="000000"/>
          <w:sz w:val="28"/>
          <w:szCs w:val="28"/>
        </w:rPr>
        <w:t>本试剂盒仅供科研使用，不能用于临床诊断或治疗。</w:t>
      </w:r>
    </w:p>
    <w:p w14:paraId="2923CBFD">
      <w:pPr>
        <w:pStyle w:val="23"/>
        <w:ind w:firstLine="560" w:firstLineChars="200"/>
        <w:rPr>
          <w:rFonts w:hint="eastAsia" w:ascii="微软雅黑" w:hAnsi="微软雅黑" w:eastAsia="微软雅黑"/>
          <w:color w:val="000000"/>
          <w:sz w:val="28"/>
          <w:szCs w:val="28"/>
        </w:rPr>
      </w:pPr>
      <w:r>
        <w:rPr>
          <w:rFonts w:hint="eastAsia" w:ascii="微软雅黑" w:hAnsi="微软雅黑" w:eastAsia="微软雅黑"/>
          <w:color w:val="000000"/>
          <w:sz w:val="28"/>
          <w:szCs w:val="28"/>
        </w:rPr>
        <w:t>试剂盒的使用期限不得超过试剂盒标签上的有效期。不要将试剂与其他批次或来源的试剂混合使用或替换使用。</w:t>
      </w:r>
    </w:p>
    <w:p w14:paraId="5D5575C9">
      <w:pPr>
        <w:pStyle w:val="23"/>
        <w:ind w:firstLine="560" w:firstLineChars="200"/>
        <w:rPr>
          <w:rFonts w:hint="eastAsia" w:ascii="微软雅黑" w:hAnsi="微软雅黑" w:eastAsia="微软雅黑"/>
          <w:color w:val="000000"/>
          <w:sz w:val="28"/>
          <w:szCs w:val="28"/>
        </w:rPr>
      </w:pPr>
      <w:r>
        <w:rPr>
          <w:rFonts w:hint="eastAsia" w:ascii="微软雅黑" w:hAnsi="微软雅黑" w:eastAsia="微软雅黑"/>
          <w:color w:val="000000"/>
          <w:sz w:val="28"/>
          <w:szCs w:val="28"/>
        </w:rPr>
        <w:t>如果样品产生的值高于最高标准，则用测定稀释剂进一步稀释样品，并重复测定。稀释剂、实验员、移液技术、洗涤技术、培养时间或温度以及试剂盒使用年限的任何变化都可能导致结果变化。</w:t>
      </w:r>
    </w:p>
    <w:p w14:paraId="329487CC">
      <w:pPr>
        <w:pStyle w:val="23"/>
        <w:ind w:firstLine="560" w:firstLineChars="200"/>
        <w:rPr>
          <w:rFonts w:hint="eastAsia" w:ascii="微软雅黑" w:hAnsi="微软雅黑" w:eastAsia="微软雅黑"/>
          <w:color w:val="000000"/>
          <w:sz w:val="28"/>
          <w:szCs w:val="28"/>
        </w:rPr>
      </w:pPr>
      <w:r>
        <w:rPr>
          <w:rFonts w:hint="eastAsia" w:ascii="微软雅黑" w:hAnsi="微软雅黑" w:eastAsia="微软雅黑"/>
          <w:color w:val="000000"/>
          <w:sz w:val="28"/>
          <w:szCs w:val="28"/>
        </w:rPr>
        <w:t>样本采集、处理和存储的变化可能会导致样本值的差异。</w:t>
      </w:r>
    </w:p>
    <w:p w14:paraId="072A668B">
      <w:pPr>
        <w:pStyle w:val="23"/>
        <w:ind w:firstLine="560" w:firstLineChars="200"/>
        <w:rPr>
          <w:rFonts w:hint="eastAsia" w:ascii="微软雅黑" w:hAnsi="微软雅黑" w:eastAsia="微软雅黑"/>
          <w:color w:val="000000"/>
          <w:sz w:val="28"/>
          <w:szCs w:val="28"/>
        </w:rPr>
      </w:pPr>
      <w:r>
        <w:rPr>
          <w:rFonts w:hint="eastAsia" w:ascii="微软雅黑" w:hAnsi="微软雅黑" w:eastAsia="微软雅黑"/>
          <w:color w:val="000000"/>
          <w:sz w:val="28"/>
          <w:szCs w:val="28"/>
        </w:rPr>
        <w:t>本试剂盒实验设计消除了不同生物样品中可能潜在的干扰因素的影响，但并不能涵盖所有潜在影响因素。不能排除存在其他干扰的可能性。</w:t>
      </w:r>
      <w:bookmarkStart w:id="3" w:name="_Toc164420457"/>
    </w:p>
    <w:p w14:paraId="00AC9647">
      <w:pPr>
        <w:pStyle w:val="10"/>
        <w:rPr>
          <w:rFonts w:hint="eastAsia"/>
          <w:color w:val="E46C0A" w:themeColor="accent6" w:themeShade="BF"/>
        </w:rPr>
      </w:pPr>
      <w:r>
        <w:rPr>
          <w:rFonts w:hint="eastAsia"/>
          <w:color w:val="auto"/>
          <w:u w:val="single"/>
        </w:rPr>
        <w:t>操作要点</w:t>
      </w:r>
      <w:bookmarkEnd w:id="3"/>
      <w:r>
        <w:rPr>
          <w:rFonts w:hint="eastAsia"/>
          <w:color w:val="auto"/>
          <w:u w:val="single"/>
        </w:rPr>
        <w:t>及注意事项</w:t>
      </w:r>
      <w:r>
        <w:rPr>
          <w:color w:val="E46C0A" w:themeColor="accent6" w:themeShade="BF"/>
        </w:rPr>
        <w:t xml:space="preserve"> </w:t>
      </w:r>
    </w:p>
    <w:p w14:paraId="780DC29C">
      <w:pPr>
        <w:pStyle w:val="23"/>
        <w:ind w:firstLine="560" w:firstLineChars="200"/>
        <w:rPr>
          <w:rFonts w:hint="eastAsia" w:ascii="微软雅黑" w:hAnsi="微软雅黑" w:eastAsia="微软雅黑"/>
          <w:color w:val="000000"/>
          <w:sz w:val="28"/>
          <w:szCs w:val="28"/>
        </w:rPr>
      </w:pPr>
      <w:r>
        <w:rPr>
          <w:rFonts w:hint="eastAsia" w:ascii="微软雅黑" w:hAnsi="微软雅黑" w:eastAsia="微软雅黑"/>
          <w:color w:val="000000"/>
          <w:sz w:val="28"/>
          <w:szCs w:val="28"/>
        </w:rPr>
        <w:t>混合蛋白质溶液时，应始终避免起泡。为了避免交叉污染，在添加每个标准品、样品和试剂时应更换移液器枪头。此外，每种试剂应单独使用容器。</w:t>
      </w:r>
    </w:p>
    <w:p w14:paraId="42EFC9F1">
      <w:pPr>
        <w:pStyle w:val="23"/>
        <w:ind w:firstLine="560" w:firstLineChars="200"/>
        <w:rPr>
          <w:rFonts w:hint="eastAsia" w:ascii="微软雅黑" w:hAnsi="微软雅黑" w:eastAsia="微软雅黑"/>
          <w:color w:val="000000"/>
          <w:sz w:val="28"/>
          <w:szCs w:val="28"/>
        </w:rPr>
      </w:pPr>
      <w:r>
        <w:rPr>
          <w:rFonts w:hint="eastAsia" w:ascii="微软雅黑" w:hAnsi="微软雅黑" w:eastAsia="微软雅黑"/>
          <w:color w:val="000000"/>
          <w:sz w:val="28"/>
          <w:szCs w:val="28"/>
        </w:rPr>
        <w:t>确保试剂不间断地添加到板孔中。为了确保准确的结果，在孵育步骤中需要粘合好封板膜。</w:t>
      </w:r>
    </w:p>
    <w:p w14:paraId="0422FDE4">
      <w:pPr>
        <w:pStyle w:val="23"/>
        <w:ind w:firstLine="560" w:firstLineChars="200"/>
        <w:rPr>
          <w:rFonts w:hint="eastAsia" w:ascii="微软雅黑" w:hAnsi="微软雅黑" w:eastAsia="微软雅黑"/>
          <w:color w:val="000000"/>
          <w:sz w:val="28"/>
          <w:szCs w:val="28"/>
        </w:rPr>
      </w:pPr>
      <w:r>
        <w:rPr>
          <w:rFonts w:hint="eastAsia" w:ascii="微软雅黑" w:hAnsi="微软雅黑" w:eastAsia="微软雅黑"/>
          <w:color w:val="000000"/>
          <w:sz w:val="28"/>
          <w:szCs w:val="28"/>
        </w:rPr>
        <w:t>当使用自动洗板机时，在加入洗涤缓冲液后加入</w:t>
      </w:r>
      <w:r>
        <w:rPr>
          <w:rFonts w:ascii="微软雅黑" w:hAnsi="微软雅黑" w:eastAsia="微软雅黑"/>
          <w:color w:val="000000"/>
          <w:sz w:val="28"/>
          <w:szCs w:val="28"/>
        </w:rPr>
        <w:t>30</w:t>
      </w:r>
      <w:r>
        <w:rPr>
          <w:rFonts w:hint="eastAsia" w:ascii="微软雅黑" w:hAnsi="微软雅黑" w:eastAsia="微软雅黑"/>
          <w:color w:val="000000"/>
          <w:sz w:val="28"/>
          <w:szCs w:val="28"/>
        </w:rPr>
        <w:t>秒的浸泡期，或者在洗涤步骤之间将板旋转</w:t>
      </w:r>
      <w:r>
        <w:rPr>
          <w:rFonts w:ascii="微软雅黑" w:hAnsi="微软雅黑" w:eastAsia="微软雅黑"/>
          <w:color w:val="000000"/>
          <w:sz w:val="28"/>
          <w:szCs w:val="28"/>
        </w:rPr>
        <w:t>180</w:t>
      </w:r>
      <w:r>
        <w:rPr>
          <w:rFonts w:hint="eastAsia" w:ascii="微软雅黑" w:hAnsi="微软雅黑" w:eastAsia="微软雅黑"/>
          <w:color w:val="000000"/>
          <w:sz w:val="28"/>
          <w:szCs w:val="28"/>
        </w:rPr>
        <w:t>度，可以提高测定精度。</w:t>
      </w:r>
    </w:p>
    <w:p w14:paraId="4D72D76A">
      <w:pPr>
        <w:pStyle w:val="23"/>
        <w:ind w:firstLine="560" w:firstLineChars="200"/>
        <w:rPr>
          <w:rFonts w:hint="eastAsia" w:ascii="微软雅黑" w:hAnsi="微软雅黑" w:eastAsia="微软雅黑"/>
          <w:color w:val="000000"/>
          <w:sz w:val="28"/>
          <w:szCs w:val="28"/>
        </w:rPr>
      </w:pPr>
      <w:r>
        <w:rPr>
          <w:rFonts w:hint="eastAsia" w:ascii="微软雅黑" w:hAnsi="微软雅黑" w:eastAsia="微软雅黑"/>
          <w:color w:val="000000"/>
          <w:sz w:val="28"/>
          <w:szCs w:val="28"/>
        </w:rPr>
        <w:t>显色剂应保持无色，直到添加到板中。确保显色剂不受光线照射。显色剂应从无色变为蓝色。</w:t>
      </w:r>
    </w:p>
    <w:p w14:paraId="49BED134">
      <w:pPr>
        <w:pStyle w:val="23"/>
        <w:ind w:firstLine="560" w:firstLineChars="200"/>
        <w:rPr>
          <w:rFonts w:hint="eastAsia" w:ascii="微软雅黑" w:hAnsi="微软雅黑" w:eastAsia="微软雅黑"/>
          <w:color w:val="000000"/>
          <w:sz w:val="28"/>
          <w:szCs w:val="28"/>
        </w:rPr>
      </w:pPr>
      <w:r>
        <w:rPr>
          <w:rFonts w:hint="eastAsia" w:ascii="微软雅黑" w:hAnsi="微软雅黑" w:eastAsia="微软雅黑"/>
          <w:color w:val="000000"/>
          <w:sz w:val="28"/>
          <w:szCs w:val="28"/>
        </w:rPr>
        <w:t>应按照与显色剂相同的顺序将终止液添加到板中。加入终止液后，孔中形成的颜色将从蓝色变为黄色。绿色的孔表示终止液未与基质溶液充分混合。</w:t>
      </w:r>
      <w:bookmarkStart w:id="4" w:name="_Toc164420458"/>
    </w:p>
    <w:p w14:paraId="386C8D9C">
      <w:pPr>
        <w:pStyle w:val="23"/>
        <w:ind w:firstLine="560" w:firstLineChars="200"/>
        <w:rPr>
          <w:rFonts w:hint="eastAsia" w:ascii="微软雅黑" w:hAnsi="微软雅黑" w:eastAsia="微软雅黑"/>
          <w:color w:val="000000"/>
          <w:sz w:val="28"/>
          <w:szCs w:val="28"/>
        </w:rPr>
      </w:pPr>
      <w:r>
        <w:rPr>
          <w:rFonts w:hint="eastAsia" w:ascii="微软雅黑" w:hAnsi="微软雅黑" w:eastAsia="微软雅黑"/>
          <w:color w:val="000000"/>
          <w:sz w:val="28"/>
          <w:szCs w:val="28"/>
        </w:rPr>
        <w:t>此试剂盒提供的终止液为稀硫酸溶液，具有一定腐蚀性，应谨慎操作。</w:t>
      </w:r>
    </w:p>
    <w:p w14:paraId="37816BB8">
      <w:pPr>
        <w:pStyle w:val="23"/>
        <w:ind w:firstLine="560" w:firstLineChars="200"/>
        <w:rPr>
          <w:rFonts w:hint="eastAsia" w:ascii="微软雅黑" w:hAnsi="微软雅黑" w:eastAsia="微软雅黑"/>
          <w:color w:val="000000"/>
          <w:sz w:val="28"/>
          <w:szCs w:val="28"/>
        </w:rPr>
      </w:pPr>
      <w:r>
        <w:rPr>
          <w:rFonts w:hint="eastAsia" w:ascii="微软雅黑" w:hAnsi="微软雅黑" w:eastAsia="微软雅黑"/>
          <w:color w:val="000000"/>
          <w:sz w:val="28"/>
          <w:szCs w:val="28"/>
        </w:rPr>
        <w:t>该试剂盒中的某些成分含有防腐剂，可能会引起皮肤过敏反应，应佩带口罩避免吸入薄雾。</w:t>
      </w:r>
    </w:p>
    <w:p w14:paraId="7B0E47B5">
      <w:pPr>
        <w:pStyle w:val="23"/>
        <w:ind w:firstLine="560" w:firstLineChars="200"/>
        <w:rPr>
          <w:rFonts w:hint="eastAsia" w:ascii="微软雅黑" w:hAnsi="微软雅黑" w:eastAsia="微软雅黑"/>
          <w:color w:val="000000"/>
          <w:sz w:val="28"/>
          <w:szCs w:val="28"/>
        </w:rPr>
      </w:pPr>
      <w:r>
        <w:rPr>
          <w:rFonts w:hint="eastAsia" w:ascii="微软雅黑" w:hAnsi="微软雅黑" w:eastAsia="微软雅黑"/>
          <w:color w:val="000000"/>
          <w:sz w:val="28"/>
          <w:szCs w:val="28"/>
        </w:rPr>
        <w:t>显色剂</w:t>
      </w:r>
      <w:r>
        <w:rPr>
          <w:rFonts w:ascii="微软雅黑" w:hAnsi="微软雅黑" w:eastAsia="微软雅黑"/>
          <w:color w:val="000000"/>
          <w:sz w:val="28"/>
          <w:szCs w:val="28"/>
        </w:rPr>
        <w:t>B</w:t>
      </w:r>
      <w:r>
        <w:rPr>
          <w:rFonts w:hint="eastAsia" w:ascii="微软雅黑" w:hAnsi="微软雅黑" w:eastAsia="微软雅黑"/>
          <w:color w:val="000000"/>
          <w:sz w:val="28"/>
          <w:szCs w:val="28"/>
        </w:rPr>
        <w:t>可能会引起皮肤、眼睛和呼吸道刺激，应佩带口罩避免吸入薄雾。</w:t>
      </w:r>
    </w:p>
    <w:p w14:paraId="6DE1F119">
      <w:pPr>
        <w:pStyle w:val="23"/>
        <w:ind w:firstLine="560" w:firstLineChars="200"/>
        <w:rPr>
          <w:rFonts w:hint="eastAsia" w:ascii="微软雅黑" w:hAnsi="微软雅黑" w:eastAsia="微软雅黑"/>
          <w:color w:val="000000"/>
          <w:sz w:val="28"/>
          <w:szCs w:val="28"/>
        </w:rPr>
      </w:pPr>
      <w:r>
        <w:rPr>
          <w:rFonts w:hint="eastAsia" w:ascii="微软雅黑" w:hAnsi="微软雅黑" w:eastAsia="微软雅黑"/>
          <w:color w:val="000000"/>
          <w:sz w:val="28"/>
          <w:szCs w:val="28"/>
        </w:rPr>
        <w:t>佩戴防护手套、防护服、眼睛和面部防护用品。处理后彻底洗手。</w:t>
      </w:r>
    </w:p>
    <w:p w14:paraId="0FEB4026">
      <w:pPr>
        <w:pStyle w:val="10"/>
        <w:rPr>
          <w:rFonts w:hint="eastAsia"/>
          <w:color w:val="auto"/>
          <w:u w:val="single"/>
        </w:rPr>
      </w:pPr>
      <w:r>
        <w:rPr>
          <w:rFonts w:hint="eastAsia"/>
          <w:color w:val="auto"/>
          <w:u w:val="single"/>
        </w:rPr>
        <w:t>试剂盒组成</w:t>
      </w:r>
      <w:bookmarkEnd w:id="4"/>
      <w:r>
        <w:rPr>
          <w:rFonts w:hint="eastAsia"/>
          <w:color w:val="auto"/>
          <w:u w:val="single"/>
        </w:rPr>
        <w:t>及储存条件</w:t>
      </w:r>
    </w:p>
    <w:p w14:paraId="4F08B337">
      <w:pPr>
        <w:rPr>
          <w:color w:val="E46C0A" w:themeColor="accent6" w:themeShade="BF"/>
        </w:rPr>
      </w:pPr>
    </w:p>
    <w:tbl>
      <w:tblPr>
        <w:tblStyle w:val="11"/>
        <w:tblW w:w="10773" w:type="dxa"/>
        <w:jc w:val="center"/>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Layout w:type="autofit"/>
        <w:tblCellMar>
          <w:top w:w="15" w:type="dxa"/>
          <w:left w:w="15" w:type="dxa"/>
          <w:bottom w:w="15" w:type="dxa"/>
          <w:right w:w="15" w:type="dxa"/>
        </w:tblCellMar>
      </w:tblPr>
      <w:tblGrid>
        <w:gridCol w:w="2567"/>
        <w:gridCol w:w="2410"/>
        <w:gridCol w:w="2409"/>
        <w:gridCol w:w="3387"/>
      </w:tblGrid>
      <w:tr w14:paraId="1AFA7543">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90" w:hRule="atLeast"/>
          <w:jc w:val="center"/>
        </w:trPr>
        <w:tc>
          <w:tcPr>
            <w:tcW w:w="2567" w:type="dxa"/>
            <w:shd w:val="clear" w:color="auto" w:fill="4F81BD" w:themeFill="accent1"/>
            <w:vAlign w:val="center"/>
          </w:tcPr>
          <w:p w14:paraId="1BD034C7">
            <w:pPr>
              <w:jc w:val="center"/>
              <w:rPr>
                <w:rFonts w:hint="eastAsia" w:ascii="微软雅黑" w:hAnsi="微软雅黑" w:eastAsia="微软雅黑" w:cs="微软雅黑"/>
                <w:b/>
                <w:bCs/>
                <w:color w:val="auto"/>
                <w:sz w:val="28"/>
                <w:szCs w:val="28"/>
              </w:rPr>
            </w:pPr>
            <w:r>
              <w:rPr>
                <w:rFonts w:hint="eastAsia" w:ascii="微软雅黑" w:hAnsi="微软雅黑" w:eastAsia="微软雅黑" w:cs="微软雅黑"/>
                <w:b/>
                <w:bCs/>
                <w:color w:val="auto"/>
                <w:sz w:val="28"/>
                <w:szCs w:val="28"/>
              </w:rPr>
              <w:t>名称</w:t>
            </w:r>
          </w:p>
        </w:tc>
        <w:tc>
          <w:tcPr>
            <w:tcW w:w="2410" w:type="dxa"/>
            <w:shd w:val="clear" w:color="auto" w:fill="4F81BD" w:themeFill="accent1"/>
            <w:vAlign w:val="center"/>
          </w:tcPr>
          <w:p w14:paraId="1D856A12">
            <w:pPr>
              <w:jc w:val="center"/>
              <w:rPr>
                <w:rFonts w:hint="eastAsia" w:ascii="微软雅黑" w:hAnsi="微软雅黑" w:eastAsia="微软雅黑" w:cs="微软雅黑"/>
                <w:b/>
                <w:bCs/>
                <w:color w:val="auto"/>
                <w:sz w:val="28"/>
                <w:szCs w:val="28"/>
              </w:rPr>
            </w:pPr>
            <w:r>
              <w:rPr>
                <w:rFonts w:hint="eastAsia" w:ascii="微软雅黑" w:hAnsi="微软雅黑" w:eastAsia="微软雅黑" w:cs="微软雅黑"/>
                <w:b/>
                <w:bCs/>
                <w:color w:val="auto"/>
                <w:sz w:val="28"/>
                <w:szCs w:val="28"/>
              </w:rPr>
              <w:t>规格（48T）</w:t>
            </w:r>
          </w:p>
        </w:tc>
        <w:tc>
          <w:tcPr>
            <w:tcW w:w="2409" w:type="dxa"/>
            <w:shd w:val="clear" w:color="auto" w:fill="4F81BD" w:themeFill="accent1"/>
            <w:vAlign w:val="center"/>
          </w:tcPr>
          <w:p w14:paraId="2242FBB9">
            <w:pPr>
              <w:jc w:val="center"/>
              <w:rPr>
                <w:rFonts w:hint="eastAsia" w:ascii="微软雅黑" w:hAnsi="微软雅黑" w:eastAsia="微软雅黑" w:cs="微软雅黑"/>
                <w:b/>
                <w:bCs/>
                <w:color w:val="auto"/>
                <w:sz w:val="28"/>
                <w:szCs w:val="28"/>
              </w:rPr>
            </w:pPr>
            <w:r>
              <w:rPr>
                <w:rFonts w:hint="eastAsia" w:ascii="微软雅黑" w:hAnsi="微软雅黑" w:eastAsia="微软雅黑" w:cs="微软雅黑"/>
                <w:b/>
                <w:bCs/>
                <w:color w:val="auto"/>
                <w:sz w:val="28"/>
                <w:szCs w:val="28"/>
              </w:rPr>
              <w:t>规格（96T）</w:t>
            </w:r>
          </w:p>
        </w:tc>
        <w:tc>
          <w:tcPr>
            <w:tcW w:w="3387" w:type="dxa"/>
            <w:shd w:val="clear" w:color="auto" w:fill="4F81BD" w:themeFill="accent1"/>
            <w:vAlign w:val="center"/>
          </w:tcPr>
          <w:p w14:paraId="7EBFB11C">
            <w:pPr>
              <w:jc w:val="center"/>
              <w:rPr>
                <w:rFonts w:hint="eastAsia" w:ascii="微软雅黑" w:hAnsi="微软雅黑" w:eastAsia="微软雅黑" w:cs="微软雅黑"/>
                <w:b/>
                <w:bCs/>
                <w:color w:val="auto"/>
                <w:sz w:val="28"/>
                <w:szCs w:val="28"/>
              </w:rPr>
            </w:pPr>
            <w:r>
              <w:rPr>
                <w:rFonts w:hint="eastAsia" w:ascii="微软雅黑" w:hAnsi="微软雅黑" w:eastAsia="微软雅黑" w:cs="微软雅黑"/>
                <w:b/>
                <w:bCs/>
                <w:color w:val="auto"/>
                <w:sz w:val="28"/>
                <w:szCs w:val="28"/>
              </w:rPr>
              <w:t>备注</w:t>
            </w:r>
          </w:p>
        </w:tc>
      </w:tr>
      <w:tr w14:paraId="12211883">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15714902">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预包被酶标板</w:t>
            </w:r>
          </w:p>
        </w:tc>
        <w:tc>
          <w:tcPr>
            <w:tcW w:w="2410" w:type="dxa"/>
            <w:vAlign w:val="center"/>
          </w:tcPr>
          <w:p w14:paraId="360A9803">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8×6条</w:t>
            </w:r>
          </w:p>
        </w:tc>
        <w:tc>
          <w:tcPr>
            <w:tcW w:w="2409" w:type="dxa"/>
            <w:vAlign w:val="center"/>
          </w:tcPr>
          <w:p w14:paraId="4F766D1A">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8×12条</w:t>
            </w:r>
          </w:p>
        </w:tc>
        <w:tc>
          <w:tcPr>
            <w:tcW w:w="3387" w:type="dxa"/>
            <w:vAlign w:val="center"/>
          </w:tcPr>
          <w:p w14:paraId="0D445943">
            <w:pPr>
              <w:jc w:val="center"/>
              <w:rPr>
                <w:rFonts w:hint="eastAsia" w:ascii="微软雅黑" w:hAnsi="微软雅黑" w:eastAsia="微软雅黑" w:cs="微软雅黑"/>
                <w:b w:val="0"/>
                <w:bCs w:val="0"/>
                <w:color w:val="auto"/>
                <w:sz w:val="24"/>
                <w:szCs w:val="24"/>
              </w:rPr>
            </w:pPr>
            <w:bookmarkStart w:id="5" w:name="OLE_LINK1"/>
            <w:r>
              <w:rPr>
                <w:rFonts w:hint="eastAsia" w:ascii="微软雅黑" w:hAnsi="微软雅黑" w:eastAsia="微软雅黑" w:cs="微软雅黑"/>
                <w:b w:val="0"/>
                <w:bCs w:val="0"/>
                <w:color w:val="auto"/>
                <w:sz w:val="24"/>
                <w:szCs w:val="24"/>
              </w:rPr>
              <w:t>2-8℃</w:t>
            </w:r>
            <w:bookmarkEnd w:id="5"/>
          </w:p>
        </w:tc>
      </w:tr>
      <w:tr w14:paraId="4935B962">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1AB623C5">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标准品</w:t>
            </w:r>
          </w:p>
        </w:tc>
        <w:tc>
          <w:tcPr>
            <w:tcW w:w="2410" w:type="dxa"/>
            <w:vAlign w:val="center"/>
          </w:tcPr>
          <w:p w14:paraId="58870FA9">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1支×100μL</w:t>
            </w:r>
          </w:p>
        </w:tc>
        <w:tc>
          <w:tcPr>
            <w:tcW w:w="2409" w:type="dxa"/>
            <w:vAlign w:val="center"/>
          </w:tcPr>
          <w:p w14:paraId="5070B117">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1支×200μL</w:t>
            </w:r>
          </w:p>
        </w:tc>
        <w:tc>
          <w:tcPr>
            <w:tcW w:w="3387" w:type="dxa"/>
            <w:vAlign w:val="center"/>
          </w:tcPr>
          <w:p w14:paraId="0E46B260">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2-8℃</w:t>
            </w:r>
          </w:p>
        </w:tc>
      </w:tr>
      <w:tr w14:paraId="6766D206">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2D15BA65">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100×生物素化抗体</w:t>
            </w:r>
          </w:p>
        </w:tc>
        <w:tc>
          <w:tcPr>
            <w:tcW w:w="2410" w:type="dxa"/>
            <w:vAlign w:val="center"/>
          </w:tcPr>
          <w:p w14:paraId="359C8DB5">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1支×50μL</w:t>
            </w:r>
          </w:p>
        </w:tc>
        <w:tc>
          <w:tcPr>
            <w:tcW w:w="2409" w:type="dxa"/>
            <w:vAlign w:val="center"/>
          </w:tcPr>
          <w:p w14:paraId="51F52A80">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1支×100μL</w:t>
            </w:r>
          </w:p>
        </w:tc>
        <w:tc>
          <w:tcPr>
            <w:tcW w:w="3387" w:type="dxa"/>
            <w:vAlign w:val="center"/>
          </w:tcPr>
          <w:p w14:paraId="456C50DC">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2-8℃</w:t>
            </w:r>
          </w:p>
        </w:tc>
      </w:tr>
      <w:tr w14:paraId="2553B212">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6E9422AB">
            <w:pPr>
              <w:jc w:val="center"/>
              <w:rPr>
                <w:rFonts w:hint="eastAsia" w:ascii="微软雅黑" w:hAnsi="微软雅黑" w:eastAsia="微软雅黑" w:cs="微软雅黑"/>
                <w:b w:val="0"/>
                <w:bCs w:val="0"/>
                <w:color w:val="auto"/>
                <w:spacing w:val="28"/>
                <w:sz w:val="24"/>
                <w:szCs w:val="24"/>
              </w:rPr>
            </w:pPr>
            <w:r>
              <w:rPr>
                <w:rFonts w:hint="eastAsia" w:ascii="微软雅黑" w:hAnsi="微软雅黑" w:eastAsia="微软雅黑" w:cs="微软雅黑"/>
                <w:b w:val="0"/>
                <w:bCs w:val="0"/>
                <w:color w:val="auto"/>
                <w:sz w:val="24"/>
                <w:szCs w:val="24"/>
              </w:rPr>
              <w:t>0100×SA-HRP</w:t>
            </w:r>
          </w:p>
        </w:tc>
        <w:tc>
          <w:tcPr>
            <w:tcW w:w="2410" w:type="dxa"/>
            <w:vAlign w:val="center"/>
          </w:tcPr>
          <w:p w14:paraId="4402E8F1">
            <w:pPr>
              <w:jc w:val="center"/>
              <w:rPr>
                <w:rFonts w:hint="eastAsia" w:ascii="微软雅黑" w:hAnsi="微软雅黑" w:eastAsia="微软雅黑" w:cs="微软雅黑"/>
                <w:b w:val="0"/>
                <w:bCs w:val="0"/>
                <w:color w:val="auto"/>
                <w:spacing w:val="28"/>
                <w:sz w:val="24"/>
                <w:szCs w:val="24"/>
              </w:rPr>
            </w:pPr>
            <w:r>
              <w:rPr>
                <w:rFonts w:hint="eastAsia" w:ascii="微软雅黑" w:hAnsi="微软雅黑" w:eastAsia="微软雅黑" w:cs="微软雅黑"/>
                <w:b w:val="0"/>
                <w:bCs w:val="0"/>
                <w:color w:val="auto"/>
                <w:sz w:val="24"/>
                <w:szCs w:val="24"/>
              </w:rPr>
              <w:t>1支×50μL</w:t>
            </w:r>
          </w:p>
        </w:tc>
        <w:tc>
          <w:tcPr>
            <w:tcW w:w="2409" w:type="dxa"/>
            <w:vAlign w:val="center"/>
          </w:tcPr>
          <w:p w14:paraId="3EAF31E7">
            <w:pPr>
              <w:jc w:val="center"/>
              <w:rPr>
                <w:rFonts w:hint="eastAsia" w:ascii="微软雅黑" w:hAnsi="微软雅黑" w:eastAsia="微软雅黑" w:cs="微软雅黑"/>
                <w:b w:val="0"/>
                <w:bCs w:val="0"/>
                <w:color w:val="auto"/>
                <w:spacing w:val="28"/>
                <w:sz w:val="24"/>
                <w:szCs w:val="24"/>
              </w:rPr>
            </w:pPr>
            <w:r>
              <w:rPr>
                <w:rFonts w:hint="eastAsia" w:ascii="微软雅黑" w:hAnsi="微软雅黑" w:eastAsia="微软雅黑" w:cs="微软雅黑"/>
                <w:b w:val="0"/>
                <w:bCs w:val="0"/>
                <w:color w:val="auto"/>
                <w:sz w:val="24"/>
                <w:szCs w:val="24"/>
              </w:rPr>
              <w:t>1支×100μL</w:t>
            </w:r>
          </w:p>
        </w:tc>
        <w:tc>
          <w:tcPr>
            <w:tcW w:w="3387" w:type="dxa"/>
            <w:vAlign w:val="center"/>
          </w:tcPr>
          <w:p w14:paraId="621A4847">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2-8℃</w:t>
            </w:r>
          </w:p>
        </w:tc>
      </w:tr>
      <w:tr w14:paraId="01DAA674">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16E3340F">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20×浓缩稀释液</w:t>
            </w:r>
          </w:p>
        </w:tc>
        <w:tc>
          <w:tcPr>
            <w:tcW w:w="2410" w:type="dxa"/>
            <w:vAlign w:val="center"/>
          </w:tcPr>
          <w:p w14:paraId="2550DCEC">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1支×15mL</w:t>
            </w:r>
          </w:p>
        </w:tc>
        <w:tc>
          <w:tcPr>
            <w:tcW w:w="2409" w:type="dxa"/>
            <w:vAlign w:val="center"/>
          </w:tcPr>
          <w:p w14:paraId="2A38096D">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1支×25mL</w:t>
            </w:r>
          </w:p>
        </w:tc>
        <w:tc>
          <w:tcPr>
            <w:tcW w:w="3387" w:type="dxa"/>
            <w:vAlign w:val="center"/>
          </w:tcPr>
          <w:p w14:paraId="42CE5D36">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2-8℃</w:t>
            </w:r>
          </w:p>
        </w:tc>
      </w:tr>
      <w:tr w14:paraId="6217B3CF">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3C306EB5">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显色液A</w:t>
            </w:r>
          </w:p>
        </w:tc>
        <w:tc>
          <w:tcPr>
            <w:tcW w:w="2410" w:type="dxa"/>
            <w:vAlign w:val="center"/>
          </w:tcPr>
          <w:p w14:paraId="2913E2EF">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1支×3mL</w:t>
            </w:r>
          </w:p>
        </w:tc>
        <w:tc>
          <w:tcPr>
            <w:tcW w:w="2409" w:type="dxa"/>
            <w:vAlign w:val="center"/>
          </w:tcPr>
          <w:p w14:paraId="7AF5B8BF">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1支×6mL</w:t>
            </w:r>
          </w:p>
        </w:tc>
        <w:tc>
          <w:tcPr>
            <w:tcW w:w="3387" w:type="dxa"/>
            <w:vAlign w:val="center"/>
          </w:tcPr>
          <w:p w14:paraId="3FBD73FE">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2-8℃</w:t>
            </w:r>
          </w:p>
        </w:tc>
      </w:tr>
      <w:tr w14:paraId="0073A17D">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4259F28D">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显色液B</w:t>
            </w:r>
          </w:p>
        </w:tc>
        <w:tc>
          <w:tcPr>
            <w:tcW w:w="2410" w:type="dxa"/>
            <w:vAlign w:val="center"/>
          </w:tcPr>
          <w:p w14:paraId="0FBAE9B6">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1支×3mL</w:t>
            </w:r>
          </w:p>
        </w:tc>
        <w:tc>
          <w:tcPr>
            <w:tcW w:w="2409" w:type="dxa"/>
            <w:vAlign w:val="center"/>
          </w:tcPr>
          <w:p w14:paraId="10A4A078">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1支×6mL</w:t>
            </w:r>
          </w:p>
        </w:tc>
        <w:tc>
          <w:tcPr>
            <w:tcW w:w="3387" w:type="dxa"/>
            <w:vAlign w:val="center"/>
          </w:tcPr>
          <w:p w14:paraId="16ACDBA9">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2-8℃</w:t>
            </w:r>
          </w:p>
        </w:tc>
      </w:tr>
      <w:tr w14:paraId="53488DFC">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6F06E9A3">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终止液</w:t>
            </w:r>
          </w:p>
        </w:tc>
        <w:tc>
          <w:tcPr>
            <w:tcW w:w="2410" w:type="dxa"/>
            <w:vAlign w:val="center"/>
          </w:tcPr>
          <w:p w14:paraId="773DF904">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1支×3mL</w:t>
            </w:r>
          </w:p>
        </w:tc>
        <w:tc>
          <w:tcPr>
            <w:tcW w:w="2409" w:type="dxa"/>
            <w:vAlign w:val="center"/>
          </w:tcPr>
          <w:p w14:paraId="1F86FBED">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1支×6mL</w:t>
            </w:r>
          </w:p>
        </w:tc>
        <w:tc>
          <w:tcPr>
            <w:tcW w:w="3387" w:type="dxa"/>
            <w:vAlign w:val="center"/>
          </w:tcPr>
          <w:p w14:paraId="187B751D">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2-8℃</w:t>
            </w:r>
          </w:p>
        </w:tc>
      </w:tr>
      <w:tr w14:paraId="07501A92">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217BDC15">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20×浓缩洗涤液</w:t>
            </w:r>
          </w:p>
        </w:tc>
        <w:tc>
          <w:tcPr>
            <w:tcW w:w="2410" w:type="dxa"/>
            <w:vAlign w:val="center"/>
          </w:tcPr>
          <w:p w14:paraId="27B6DBCF">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1支×15mL</w:t>
            </w:r>
          </w:p>
        </w:tc>
        <w:tc>
          <w:tcPr>
            <w:tcW w:w="2409" w:type="dxa"/>
            <w:vAlign w:val="center"/>
          </w:tcPr>
          <w:p w14:paraId="2D1B674C">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1支×25mL</w:t>
            </w:r>
          </w:p>
        </w:tc>
        <w:tc>
          <w:tcPr>
            <w:tcW w:w="3387" w:type="dxa"/>
            <w:vAlign w:val="center"/>
          </w:tcPr>
          <w:p w14:paraId="0F5692F3">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2-8℃</w:t>
            </w:r>
          </w:p>
        </w:tc>
      </w:tr>
      <w:tr w14:paraId="3FA27F26">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2717FF8C">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封板胶纸</w:t>
            </w:r>
          </w:p>
        </w:tc>
        <w:tc>
          <w:tcPr>
            <w:tcW w:w="2410" w:type="dxa"/>
            <w:vAlign w:val="center"/>
          </w:tcPr>
          <w:p w14:paraId="5EB373A7">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2张</w:t>
            </w:r>
          </w:p>
        </w:tc>
        <w:tc>
          <w:tcPr>
            <w:tcW w:w="2409" w:type="dxa"/>
            <w:vAlign w:val="center"/>
          </w:tcPr>
          <w:p w14:paraId="2568A6AF">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2张</w:t>
            </w:r>
          </w:p>
        </w:tc>
        <w:tc>
          <w:tcPr>
            <w:tcW w:w="3387" w:type="dxa"/>
            <w:vAlign w:val="center"/>
          </w:tcPr>
          <w:p w14:paraId="3ACF5952">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无</w:t>
            </w:r>
          </w:p>
        </w:tc>
      </w:tr>
      <w:tr w14:paraId="108A9AEB">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57F49EE8">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产品说明书</w:t>
            </w:r>
          </w:p>
        </w:tc>
        <w:tc>
          <w:tcPr>
            <w:tcW w:w="2410" w:type="dxa"/>
            <w:vAlign w:val="center"/>
          </w:tcPr>
          <w:p w14:paraId="5E811CC5">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1份</w:t>
            </w:r>
          </w:p>
        </w:tc>
        <w:tc>
          <w:tcPr>
            <w:tcW w:w="2409" w:type="dxa"/>
            <w:vAlign w:val="center"/>
          </w:tcPr>
          <w:p w14:paraId="1A39A063">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1份</w:t>
            </w:r>
          </w:p>
        </w:tc>
        <w:tc>
          <w:tcPr>
            <w:tcW w:w="3387" w:type="dxa"/>
            <w:vAlign w:val="center"/>
          </w:tcPr>
          <w:p w14:paraId="2FCAC23E">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请仔细阅读</w:t>
            </w:r>
          </w:p>
        </w:tc>
      </w:tr>
    </w:tbl>
    <w:p w14:paraId="3065ED68">
      <w:pPr>
        <w:pStyle w:val="10"/>
        <w:rPr>
          <w:rFonts w:hint="eastAsia"/>
          <w:color w:val="auto"/>
          <w:u w:val="single"/>
        </w:rPr>
      </w:pPr>
      <w:bookmarkStart w:id="6" w:name="_Toc164420459"/>
      <w:r>
        <w:rPr>
          <w:rFonts w:hint="eastAsia"/>
          <w:color w:val="auto"/>
          <w:u w:val="single"/>
        </w:rPr>
        <w:t>需要的其他材料</w:t>
      </w:r>
      <w:bookmarkEnd w:id="6"/>
    </w:p>
    <w:p w14:paraId="515185EC">
      <w:pPr>
        <w:pStyle w:val="17"/>
        <w:numPr>
          <w:ilvl w:val="0"/>
          <w:numId w:val="1"/>
        </w:numPr>
        <w:ind w:left="-320" w:leftChars="0" w:firstLine="560" w:firstLineChars="0"/>
        <w:rPr>
          <w:rFonts w:hint="eastAsia" w:ascii="微软雅黑" w:hAnsi="微软雅黑" w:eastAsia="微软雅黑" w:cs="Times New Roman"/>
          <w:sz w:val="28"/>
          <w:szCs w:val="28"/>
        </w:rPr>
      </w:pPr>
      <w:r>
        <w:rPr>
          <w:rFonts w:hint="eastAsia" w:ascii="微软雅黑" w:hAnsi="微软雅黑" w:eastAsia="微软雅黑" w:cs="Times New Roman"/>
          <w:sz w:val="28"/>
          <w:szCs w:val="28"/>
        </w:rPr>
        <w:t>酶标仪，包含</w:t>
      </w:r>
      <w:r>
        <w:rPr>
          <w:rFonts w:ascii="微软雅黑" w:hAnsi="微软雅黑" w:eastAsia="微软雅黑" w:cs="Times New Roman"/>
          <w:sz w:val="28"/>
          <w:szCs w:val="28"/>
        </w:rPr>
        <w:t>450nm</w:t>
      </w:r>
      <w:r>
        <w:rPr>
          <w:rFonts w:hint="eastAsia" w:ascii="微软雅黑" w:hAnsi="微软雅黑" w:eastAsia="微软雅黑" w:cs="Times New Roman"/>
          <w:sz w:val="28"/>
          <w:szCs w:val="28"/>
        </w:rPr>
        <w:t>测定波长，同时包含</w:t>
      </w:r>
      <w:r>
        <w:rPr>
          <w:rFonts w:ascii="微软雅黑" w:hAnsi="微软雅黑" w:eastAsia="微软雅黑" w:cs="Times New Roman"/>
          <w:sz w:val="28"/>
          <w:szCs w:val="28"/>
        </w:rPr>
        <w:t>600-680nm</w:t>
      </w:r>
      <w:r>
        <w:rPr>
          <w:rFonts w:hint="eastAsia" w:ascii="微软雅黑" w:hAnsi="微软雅黑" w:eastAsia="微软雅黑" w:cs="Times New Roman"/>
          <w:sz w:val="28"/>
          <w:szCs w:val="28"/>
        </w:rPr>
        <w:t>校正波长更佳；</w:t>
      </w:r>
    </w:p>
    <w:p w14:paraId="3F8B9217">
      <w:pPr>
        <w:pStyle w:val="17"/>
        <w:numPr>
          <w:ilvl w:val="0"/>
          <w:numId w:val="1"/>
        </w:numPr>
        <w:ind w:left="-320" w:leftChars="0" w:firstLine="560" w:firstLineChars="0"/>
        <w:rPr>
          <w:rFonts w:hint="eastAsia" w:ascii="微软雅黑" w:hAnsi="微软雅黑" w:eastAsia="微软雅黑" w:cs="Times New Roman"/>
          <w:sz w:val="28"/>
          <w:szCs w:val="28"/>
        </w:rPr>
      </w:pPr>
      <w:r>
        <w:rPr>
          <w:rFonts w:hint="eastAsia" w:ascii="微软雅黑" w:hAnsi="微软雅黑" w:eastAsia="微软雅黑" w:cs="Times New Roman"/>
          <w:sz w:val="28"/>
          <w:szCs w:val="28"/>
        </w:rPr>
        <w:t>移液器及枪头；</w:t>
      </w:r>
    </w:p>
    <w:p w14:paraId="687050A6">
      <w:pPr>
        <w:pStyle w:val="17"/>
        <w:numPr>
          <w:ilvl w:val="0"/>
          <w:numId w:val="1"/>
        </w:numPr>
        <w:ind w:left="-320" w:leftChars="0" w:firstLine="560" w:firstLineChars="0"/>
        <w:rPr>
          <w:rFonts w:hint="eastAsia" w:ascii="微软雅黑" w:hAnsi="微软雅黑" w:eastAsia="微软雅黑" w:cs="Times New Roman"/>
          <w:sz w:val="28"/>
          <w:szCs w:val="28"/>
        </w:rPr>
      </w:pPr>
      <w:r>
        <w:rPr>
          <w:rFonts w:hint="eastAsia" w:ascii="微软雅黑" w:hAnsi="微软雅黑" w:eastAsia="微软雅黑" w:cs="Times New Roman"/>
          <w:sz w:val="28"/>
          <w:szCs w:val="28"/>
        </w:rPr>
        <w:t>蒸馏水或去离子水；</w:t>
      </w:r>
    </w:p>
    <w:p w14:paraId="37D2D768">
      <w:pPr>
        <w:pStyle w:val="17"/>
        <w:numPr>
          <w:ilvl w:val="0"/>
          <w:numId w:val="1"/>
        </w:numPr>
        <w:ind w:left="-320" w:leftChars="0" w:firstLine="560" w:firstLineChars="0"/>
        <w:rPr>
          <w:rFonts w:hint="eastAsia" w:ascii="微软雅黑" w:hAnsi="微软雅黑" w:eastAsia="微软雅黑" w:cs="Times New Roman"/>
          <w:sz w:val="28"/>
          <w:szCs w:val="28"/>
        </w:rPr>
      </w:pPr>
      <w:r>
        <w:rPr>
          <w:rFonts w:ascii="微软雅黑" w:hAnsi="微软雅黑" w:eastAsia="微软雅黑" w:cs="Times New Roman"/>
          <w:sz w:val="28"/>
          <w:szCs w:val="28"/>
        </w:rPr>
        <w:t>100-1000 mL</w:t>
      </w:r>
      <w:r>
        <w:rPr>
          <w:rFonts w:hint="eastAsia" w:ascii="微软雅黑" w:hAnsi="微软雅黑" w:eastAsia="微软雅黑" w:cs="Times New Roman"/>
          <w:sz w:val="28"/>
          <w:szCs w:val="28"/>
        </w:rPr>
        <w:t>刻度量筒；</w:t>
      </w:r>
    </w:p>
    <w:p w14:paraId="2E9E8839">
      <w:pPr>
        <w:pStyle w:val="17"/>
        <w:numPr>
          <w:ilvl w:val="0"/>
          <w:numId w:val="1"/>
        </w:numPr>
        <w:ind w:left="-320" w:leftChars="0" w:firstLine="560" w:firstLineChars="0"/>
        <w:rPr>
          <w:rFonts w:hint="eastAsia" w:ascii="微软雅黑" w:hAnsi="微软雅黑" w:eastAsia="微软雅黑" w:cs="Times New Roman"/>
          <w:sz w:val="28"/>
          <w:szCs w:val="28"/>
        </w:rPr>
      </w:pPr>
      <w:r>
        <w:rPr>
          <w:rFonts w:hint="eastAsia" w:ascii="微软雅黑" w:hAnsi="微软雅黑" w:eastAsia="微软雅黑" w:cs="Times New Roman"/>
          <w:sz w:val="28"/>
          <w:szCs w:val="28"/>
        </w:rPr>
        <w:t>洗瓶、排枪或自动微孔板清洗机；</w:t>
      </w:r>
    </w:p>
    <w:p w14:paraId="12DCCB93">
      <w:pPr>
        <w:pStyle w:val="17"/>
        <w:numPr>
          <w:ilvl w:val="0"/>
          <w:numId w:val="1"/>
        </w:numPr>
        <w:ind w:left="-320" w:leftChars="0" w:firstLine="560" w:firstLineChars="0"/>
        <w:rPr>
          <w:rFonts w:hint="eastAsia" w:ascii="微软雅黑" w:hAnsi="微软雅黑" w:eastAsia="微软雅黑" w:cs="Times New Roman"/>
          <w:sz w:val="28"/>
          <w:szCs w:val="28"/>
        </w:rPr>
      </w:pPr>
      <w:r>
        <w:rPr>
          <w:rFonts w:hint="eastAsia" w:ascii="微软雅黑" w:hAnsi="微软雅黑" w:eastAsia="微软雅黑" w:cs="Times New Roman"/>
          <w:sz w:val="28"/>
          <w:szCs w:val="28"/>
        </w:rPr>
        <w:t>水平轨道微孔板振荡器，能够保持</w:t>
      </w:r>
      <w:r>
        <w:rPr>
          <w:rFonts w:ascii="微软雅黑" w:hAnsi="微软雅黑" w:eastAsia="微软雅黑" w:cs="Times New Roman"/>
          <w:sz w:val="28"/>
          <w:szCs w:val="28"/>
        </w:rPr>
        <w:t>500</w:t>
      </w:r>
      <w:r>
        <w:rPr>
          <w:rFonts w:hint="eastAsia" w:ascii="微软雅黑" w:hAnsi="微软雅黑" w:eastAsia="微软雅黑" w:cs="Times New Roman"/>
          <w:sz w:val="28"/>
          <w:szCs w:val="28"/>
        </w:rPr>
        <w:t>±</w:t>
      </w:r>
      <w:r>
        <w:rPr>
          <w:rFonts w:ascii="微软雅黑" w:hAnsi="微软雅黑" w:eastAsia="微软雅黑" w:cs="Times New Roman"/>
          <w:sz w:val="28"/>
          <w:szCs w:val="28"/>
        </w:rPr>
        <w:t>50 rpm</w:t>
      </w:r>
      <w:r>
        <w:rPr>
          <w:rFonts w:hint="eastAsia" w:ascii="微软雅黑" w:hAnsi="微软雅黑" w:eastAsia="微软雅黑" w:cs="Times New Roman"/>
          <w:sz w:val="28"/>
          <w:szCs w:val="28"/>
        </w:rPr>
        <w:t>的速度；</w:t>
      </w:r>
    </w:p>
    <w:p w14:paraId="26C3F92A">
      <w:pPr>
        <w:pStyle w:val="17"/>
        <w:numPr>
          <w:ilvl w:val="0"/>
          <w:numId w:val="1"/>
        </w:numPr>
        <w:ind w:left="-320" w:leftChars="0" w:firstLine="560" w:firstLineChars="0"/>
        <w:rPr>
          <w:rFonts w:hint="eastAsia" w:ascii="微软雅黑" w:hAnsi="微软雅黑" w:eastAsia="微软雅黑" w:cs="Times New Roman"/>
          <w:sz w:val="28"/>
          <w:szCs w:val="28"/>
        </w:rPr>
      </w:pPr>
      <w:r>
        <w:rPr>
          <w:rFonts w:hint="eastAsia" w:ascii="微软雅黑" w:hAnsi="微软雅黑" w:eastAsia="微软雅黑" w:cs="Times New Roman"/>
          <w:sz w:val="28"/>
          <w:szCs w:val="28"/>
        </w:rPr>
        <w:t>用于稀释标准品和样品的试管。</w:t>
      </w:r>
    </w:p>
    <w:p w14:paraId="67152237">
      <w:pPr>
        <w:pStyle w:val="10"/>
        <w:rPr>
          <w:rFonts w:hint="eastAsia"/>
          <w:color w:val="E46C0A" w:themeColor="accent6" w:themeShade="BF"/>
        </w:rPr>
      </w:pPr>
      <w:bookmarkStart w:id="7" w:name="_Toc164420461"/>
      <w:r>
        <w:rPr>
          <w:rFonts w:hint="eastAsia"/>
          <w:color w:val="auto"/>
          <w:u w:val="single"/>
        </w:rPr>
        <w:t>样品</w:t>
      </w:r>
      <w:bookmarkEnd w:id="7"/>
      <w:r>
        <w:rPr>
          <w:rFonts w:hint="eastAsia"/>
          <w:color w:val="auto"/>
          <w:u w:val="single"/>
        </w:rPr>
        <w:t>处理及要求</w:t>
      </w:r>
    </w:p>
    <w:p w14:paraId="30CE87B3">
      <w:pPr>
        <w:pStyle w:val="23"/>
        <w:ind w:firstLine="560" w:firstLineChars="200"/>
        <w:rPr>
          <w:rFonts w:hint="eastAsia" w:ascii="微软雅黑" w:hAnsi="微软雅黑" w:eastAsia="微软雅黑"/>
          <w:color w:val="000000"/>
          <w:sz w:val="28"/>
          <w:szCs w:val="28"/>
        </w:rPr>
      </w:pPr>
      <w:r>
        <w:rPr>
          <w:rFonts w:hint="eastAsia" w:ascii="微软雅黑" w:hAnsi="微软雅黑" w:eastAsia="微软雅黑"/>
          <w:color w:val="000000"/>
          <w:sz w:val="28"/>
          <w:szCs w:val="28"/>
        </w:rPr>
        <w:t>下面列出的样品收集和储存条件旨在作为一般性指导。样品</w:t>
      </w:r>
      <w:r>
        <w:rPr>
          <w:rFonts w:hint="eastAsia" w:ascii="微软雅黑" w:hAnsi="微软雅黑" w:eastAsia="微软雅黑"/>
          <w:color w:val="000000"/>
          <w:sz w:val="28"/>
          <w:szCs w:val="28"/>
          <w:lang w:val="en-US" w:eastAsia="zh-CN"/>
        </w:rPr>
        <w:t>稳定</w:t>
      </w:r>
      <w:r>
        <w:rPr>
          <w:rFonts w:hint="eastAsia" w:ascii="微软雅黑" w:hAnsi="微软雅黑" w:eastAsia="微软雅黑"/>
          <w:color w:val="000000"/>
          <w:sz w:val="28"/>
          <w:szCs w:val="28"/>
        </w:rPr>
        <w:t>性尚未评估。</w:t>
      </w:r>
    </w:p>
    <w:p w14:paraId="7E38B132">
      <w:pPr>
        <w:pStyle w:val="23"/>
        <w:ind w:firstLine="560" w:firstLineChars="200"/>
        <w:rPr>
          <w:rFonts w:hint="eastAsia" w:ascii="微软雅黑" w:hAnsi="微软雅黑" w:eastAsia="微软雅黑"/>
          <w:sz w:val="28"/>
          <w:szCs w:val="28"/>
        </w:rPr>
      </w:pPr>
      <w:r>
        <w:rPr>
          <w:rFonts w:hint="eastAsia" w:ascii="微软雅黑" w:hAnsi="微软雅黑" w:eastAsia="微软雅黑"/>
          <w:b/>
          <w:color w:val="000000"/>
          <w:sz w:val="28"/>
          <w:szCs w:val="28"/>
        </w:rPr>
        <w:t>细胞培养上清液</w:t>
      </w:r>
      <w:r>
        <w:rPr>
          <w:rFonts w:hint="eastAsia" w:ascii="微软雅黑" w:hAnsi="微软雅黑" w:eastAsia="微软雅黑"/>
          <w:color w:val="000000"/>
          <w:sz w:val="28"/>
          <w:szCs w:val="28"/>
        </w:rPr>
        <w:t>：</w:t>
      </w:r>
      <w:r>
        <w:rPr>
          <w:rFonts w:hint="eastAsia" w:ascii="微软雅黑" w:hAnsi="微软雅黑" w:eastAsia="微软雅黑"/>
          <w:color w:val="000000" w:themeColor="text1"/>
          <w:sz w:val="28"/>
          <w:szCs w:val="28"/>
          <w14:textFill>
            <w14:solidFill>
              <w14:schemeClr w14:val="tx1"/>
            </w14:solidFill>
          </w14:textFill>
        </w:rPr>
        <w:t>在</w:t>
      </w:r>
      <w:r>
        <w:rPr>
          <w:rFonts w:ascii="微软雅黑" w:hAnsi="微软雅黑" w:eastAsia="微软雅黑"/>
          <w:color w:val="000000" w:themeColor="text1"/>
          <w:sz w:val="28"/>
          <w:szCs w:val="28"/>
          <w14:textFill>
            <w14:solidFill>
              <w14:schemeClr w14:val="tx1"/>
            </w14:solidFill>
          </w14:textFill>
        </w:rPr>
        <w:t>1000</w:t>
      </w:r>
      <w:r>
        <w:rPr>
          <w:rFonts w:hint="eastAsia" w:ascii="微软雅黑" w:hAnsi="微软雅黑" w:eastAsia="微软雅黑"/>
          <w:color w:val="000000" w:themeColor="text1"/>
          <w:sz w:val="28"/>
          <w:szCs w:val="28"/>
          <w14:textFill>
            <w14:solidFill>
              <w14:schemeClr w14:val="tx1"/>
            </w14:solidFill>
          </w14:textFill>
        </w:rPr>
        <w:t>×</w:t>
      </w:r>
      <w:r>
        <w:rPr>
          <w:rFonts w:ascii="微软雅黑" w:hAnsi="微软雅黑" w:eastAsia="微软雅黑"/>
          <w:color w:val="000000" w:themeColor="text1"/>
          <w:sz w:val="28"/>
          <w:szCs w:val="28"/>
          <w14:textFill>
            <w14:solidFill>
              <w14:schemeClr w14:val="tx1"/>
            </w14:solidFill>
          </w14:textFill>
        </w:rPr>
        <w:t>g</w:t>
      </w:r>
      <w:r>
        <w:rPr>
          <w:rFonts w:hint="eastAsia" w:ascii="微软雅黑" w:hAnsi="微软雅黑" w:eastAsia="微软雅黑"/>
          <w:color w:val="000000" w:themeColor="text1"/>
          <w:sz w:val="28"/>
          <w:szCs w:val="28"/>
          <w14:textFill>
            <w14:solidFill>
              <w14:schemeClr w14:val="tx1"/>
            </w14:solidFill>
          </w14:textFill>
        </w:rPr>
        <w:t>下离心</w:t>
      </w:r>
      <w:r>
        <w:rPr>
          <w:rFonts w:ascii="微软雅黑" w:hAnsi="微软雅黑" w:eastAsia="微软雅黑"/>
          <w:color w:val="000000" w:themeColor="text1"/>
          <w:sz w:val="28"/>
          <w:szCs w:val="28"/>
          <w14:textFill>
            <w14:solidFill>
              <w14:schemeClr w14:val="tx1"/>
            </w14:solidFill>
          </w14:textFill>
        </w:rPr>
        <w:t>15</w:t>
      </w:r>
      <w:r>
        <w:rPr>
          <w:rFonts w:hint="eastAsia" w:ascii="微软雅黑" w:hAnsi="微软雅黑" w:eastAsia="微软雅黑"/>
          <w:color w:val="000000" w:themeColor="text1"/>
          <w:sz w:val="28"/>
          <w:szCs w:val="28"/>
          <w14:textFill>
            <w14:solidFill>
              <w14:schemeClr w14:val="tx1"/>
            </w14:solidFill>
          </w14:textFill>
        </w:rPr>
        <w:t>分钟去</w:t>
      </w:r>
      <w:r>
        <w:rPr>
          <w:rFonts w:hint="eastAsia" w:ascii="微软雅黑" w:hAnsi="微软雅黑" w:eastAsia="微软雅黑"/>
          <w:color w:val="000000"/>
          <w:sz w:val="28"/>
          <w:szCs w:val="28"/>
        </w:rPr>
        <w:t>除颗粒，立即进行测定或等分装样品，并将样品储存在≤</w:t>
      </w:r>
      <w:r>
        <w:rPr>
          <w:rFonts w:ascii="微软雅黑" w:hAnsi="微软雅黑" w:eastAsia="微软雅黑"/>
          <w:color w:val="000000"/>
          <w:sz w:val="28"/>
          <w:szCs w:val="28"/>
        </w:rPr>
        <w:t>-20</w:t>
      </w:r>
      <w:r>
        <w:rPr>
          <w:rFonts w:hint="eastAsia" w:ascii="微软雅黑" w:hAnsi="微软雅黑" w:eastAsia="微软雅黑"/>
          <w:color w:val="000000"/>
          <w:sz w:val="28"/>
          <w:szCs w:val="28"/>
        </w:rPr>
        <w:t>℃的温度下。避免重复冻融循环。（</w:t>
      </w:r>
      <w:r>
        <w:rPr>
          <w:rFonts w:hint="eastAsia" w:ascii="微软雅黑" w:hAnsi="微软雅黑" w:eastAsia="微软雅黑"/>
          <w:sz w:val="28"/>
          <w:szCs w:val="28"/>
        </w:rPr>
        <w:t>由于基质效应，细胞培养上清液样品建议预实验以确定稀释倍数）</w:t>
      </w:r>
    </w:p>
    <w:p w14:paraId="5FF2BCD4">
      <w:pPr>
        <w:pStyle w:val="23"/>
        <w:ind w:firstLine="560" w:firstLineChars="200"/>
        <w:rPr>
          <w:rFonts w:hint="eastAsia" w:ascii="微软雅黑" w:hAnsi="微软雅黑" w:eastAsia="微软雅黑"/>
          <w:color w:val="000000"/>
          <w:sz w:val="28"/>
          <w:szCs w:val="28"/>
        </w:rPr>
      </w:pPr>
      <w:r>
        <w:rPr>
          <w:rFonts w:hint="eastAsia" w:ascii="微软雅黑" w:hAnsi="微软雅黑" w:eastAsia="微软雅黑"/>
          <w:b/>
          <w:color w:val="000000"/>
          <w:sz w:val="28"/>
          <w:szCs w:val="28"/>
        </w:rPr>
        <w:t>血清</w:t>
      </w:r>
      <w:r>
        <w:rPr>
          <w:rFonts w:hint="eastAsia" w:ascii="微软雅黑" w:hAnsi="微软雅黑" w:eastAsia="微软雅黑"/>
          <w:color w:val="000000"/>
          <w:sz w:val="28"/>
          <w:szCs w:val="28"/>
        </w:rPr>
        <w:t>：使用血清分离管，使样品在室温下凝结</w:t>
      </w:r>
      <w:r>
        <w:rPr>
          <w:rFonts w:ascii="微软雅黑" w:hAnsi="微软雅黑" w:eastAsia="微软雅黑"/>
          <w:color w:val="000000"/>
          <w:sz w:val="28"/>
          <w:szCs w:val="28"/>
        </w:rPr>
        <w:t>30</w:t>
      </w:r>
      <w:r>
        <w:rPr>
          <w:rFonts w:hint="eastAsia" w:ascii="微软雅黑" w:hAnsi="微软雅黑" w:eastAsia="微软雅黑"/>
          <w:color w:val="000000"/>
          <w:sz w:val="28"/>
          <w:szCs w:val="28"/>
        </w:rPr>
        <w:t>分钟，然后在</w:t>
      </w:r>
      <w:r>
        <w:rPr>
          <w:rFonts w:ascii="微软雅黑" w:hAnsi="微软雅黑" w:eastAsia="微软雅黑"/>
          <w:color w:val="000000"/>
          <w:sz w:val="28"/>
          <w:szCs w:val="28"/>
        </w:rPr>
        <w:t>1000</w:t>
      </w:r>
      <w:r>
        <w:rPr>
          <w:rFonts w:hint="eastAsia" w:ascii="微软雅黑" w:hAnsi="微软雅黑" w:eastAsia="微软雅黑"/>
          <w:color w:val="000000"/>
          <w:sz w:val="28"/>
          <w:szCs w:val="28"/>
        </w:rPr>
        <w:t>×</w:t>
      </w:r>
      <w:r>
        <w:rPr>
          <w:rFonts w:ascii="微软雅黑" w:hAnsi="微软雅黑" w:eastAsia="微软雅黑"/>
          <w:color w:val="000000"/>
          <w:sz w:val="28"/>
          <w:szCs w:val="28"/>
        </w:rPr>
        <w:t>g</w:t>
      </w:r>
      <w:r>
        <w:rPr>
          <w:rFonts w:hint="eastAsia" w:ascii="微软雅黑" w:hAnsi="微软雅黑" w:eastAsia="微软雅黑"/>
          <w:color w:val="000000"/>
          <w:sz w:val="28"/>
          <w:szCs w:val="28"/>
        </w:rPr>
        <w:t>下离心</w:t>
      </w:r>
      <w:r>
        <w:rPr>
          <w:rFonts w:ascii="微软雅黑" w:hAnsi="微软雅黑" w:eastAsia="微软雅黑"/>
          <w:color w:val="000000"/>
          <w:sz w:val="28"/>
          <w:szCs w:val="28"/>
        </w:rPr>
        <w:t>15</w:t>
      </w:r>
      <w:r>
        <w:rPr>
          <w:rFonts w:hint="eastAsia" w:ascii="微软雅黑" w:hAnsi="微软雅黑" w:eastAsia="微软雅黑"/>
          <w:color w:val="000000"/>
          <w:sz w:val="28"/>
          <w:szCs w:val="28"/>
        </w:rPr>
        <w:t>分钟。立即取出血清并进行测定或等分装样品，将样品储存在≤</w:t>
      </w:r>
      <w:r>
        <w:rPr>
          <w:rFonts w:ascii="微软雅黑" w:hAnsi="微软雅黑" w:eastAsia="微软雅黑"/>
          <w:color w:val="000000"/>
          <w:sz w:val="28"/>
          <w:szCs w:val="28"/>
        </w:rPr>
        <w:t>-20</w:t>
      </w:r>
      <w:r>
        <w:rPr>
          <w:rFonts w:hint="eastAsia" w:ascii="微软雅黑" w:hAnsi="微软雅黑" w:eastAsia="微软雅黑"/>
          <w:color w:val="000000"/>
          <w:sz w:val="28"/>
          <w:szCs w:val="28"/>
        </w:rPr>
        <w:t>℃的温度下。避免重复冻融循环。（</w:t>
      </w:r>
      <w:r>
        <w:rPr>
          <w:rFonts w:hint="eastAsia" w:ascii="微软雅黑" w:hAnsi="微软雅黑" w:eastAsia="微软雅黑"/>
          <w:sz w:val="28"/>
          <w:szCs w:val="28"/>
        </w:rPr>
        <w:t>由于基质效应，血清样品建议</w:t>
      </w:r>
      <w:r>
        <w:rPr>
          <w:rFonts w:ascii="微软雅黑" w:hAnsi="微软雅黑" w:eastAsia="微软雅黑"/>
          <w:sz w:val="28"/>
          <w:szCs w:val="28"/>
        </w:rPr>
        <w:t>2</w:t>
      </w:r>
      <w:r>
        <w:rPr>
          <w:rFonts w:hint="eastAsia" w:ascii="微软雅黑" w:hAnsi="微软雅黑" w:eastAsia="微软雅黑"/>
          <w:sz w:val="28"/>
          <w:szCs w:val="28"/>
        </w:rPr>
        <w:t>倍稀释。例如：</w:t>
      </w:r>
      <w:r>
        <w:rPr>
          <w:rFonts w:ascii="微软雅黑" w:hAnsi="微软雅黑" w:eastAsia="微软雅黑"/>
          <w:sz w:val="28"/>
          <w:szCs w:val="28"/>
        </w:rPr>
        <w:t>50</w:t>
      </w:r>
      <w:r>
        <w:rPr>
          <w:rFonts w:hint="eastAsia" w:ascii="微软雅黑" w:hAnsi="微软雅黑" w:eastAsia="微软雅黑"/>
          <w:sz w:val="28"/>
          <w:szCs w:val="28"/>
        </w:rPr>
        <w:t>μ</w:t>
      </w:r>
      <w:r>
        <w:rPr>
          <w:rFonts w:ascii="微软雅黑" w:hAnsi="微软雅黑" w:eastAsia="微软雅黑"/>
          <w:sz w:val="28"/>
          <w:szCs w:val="28"/>
        </w:rPr>
        <w:t>L</w:t>
      </w:r>
      <w:r>
        <w:rPr>
          <w:rFonts w:hint="eastAsia" w:ascii="微软雅黑" w:hAnsi="微软雅黑" w:eastAsia="微软雅黑"/>
          <w:sz w:val="28"/>
          <w:szCs w:val="28"/>
        </w:rPr>
        <w:t>样品</w:t>
      </w:r>
      <w:r>
        <w:rPr>
          <w:rFonts w:ascii="微软雅黑" w:hAnsi="微软雅黑" w:eastAsia="微软雅黑"/>
          <w:sz w:val="28"/>
          <w:szCs w:val="28"/>
        </w:rPr>
        <w:t>+50</w:t>
      </w:r>
      <w:r>
        <w:rPr>
          <w:rFonts w:hint="eastAsia" w:ascii="微软雅黑" w:hAnsi="微软雅黑" w:eastAsia="微软雅黑"/>
          <w:sz w:val="28"/>
          <w:szCs w:val="28"/>
        </w:rPr>
        <w:t>μ</w:t>
      </w:r>
      <w:r>
        <w:rPr>
          <w:rFonts w:ascii="微软雅黑" w:hAnsi="微软雅黑" w:eastAsia="微软雅黑"/>
          <w:sz w:val="28"/>
          <w:szCs w:val="28"/>
        </w:rPr>
        <w:t>L</w:t>
      </w:r>
      <w:r>
        <w:rPr>
          <w:rFonts w:hint="eastAsia" w:ascii="微软雅黑" w:hAnsi="微软雅黑" w:eastAsia="微软雅黑"/>
          <w:sz w:val="28"/>
          <w:szCs w:val="28"/>
        </w:rPr>
        <w:t>的</w:t>
      </w:r>
      <w:r>
        <w:rPr>
          <w:rFonts w:ascii="微软雅黑" w:hAnsi="微软雅黑" w:eastAsia="微软雅黑"/>
          <w:sz w:val="28"/>
          <w:szCs w:val="28"/>
        </w:rPr>
        <w:t>1</w:t>
      </w:r>
      <w:r>
        <w:rPr>
          <w:rFonts w:hint="eastAsia" w:ascii="微软雅黑" w:hAnsi="微软雅黑" w:eastAsia="微软雅黑"/>
          <w:sz w:val="28"/>
          <w:szCs w:val="28"/>
        </w:rPr>
        <w:t>×稀释液）</w:t>
      </w:r>
    </w:p>
    <w:p w14:paraId="7E42FFFB">
      <w:pPr>
        <w:pStyle w:val="23"/>
        <w:ind w:firstLine="560" w:firstLineChars="200"/>
        <w:rPr>
          <w:rFonts w:hint="eastAsia" w:ascii="微软雅黑" w:hAnsi="微软雅黑" w:eastAsia="微软雅黑"/>
          <w:color w:val="000000"/>
          <w:sz w:val="28"/>
          <w:szCs w:val="28"/>
        </w:rPr>
      </w:pPr>
      <w:r>
        <w:rPr>
          <w:rFonts w:hint="eastAsia" w:ascii="微软雅黑" w:hAnsi="微软雅黑" w:eastAsia="微软雅黑"/>
          <w:b/>
          <w:color w:val="000000"/>
          <w:sz w:val="28"/>
          <w:szCs w:val="28"/>
        </w:rPr>
        <w:t>血浆</w:t>
      </w:r>
      <w:r>
        <w:rPr>
          <w:rFonts w:hint="eastAsia" w:ascii="微软雅黑" w:hAnsi="微软雅黑" w:eastAsia="微软雅黑"/>
          <w:color w:val="000000"/>
          <w:sz w:val="28"/>
          <w:szCs w:val="28"/>
        </w:rPr>
        <w:t>：使用</w:t>
      </w:r>
      <w:r>
        <w:rPr>
          <w:rFonts w:ascii="微软雅黑" w:hAnsi="微软雅黑" w:eastAsia="微软雅黑"/>
          <w:color w:val="000000"/>
          <w:sz w:val="28"/>
          <w:szCs w:val="28"/>
        </w:rPr>
        <w:t>EDTA</w:t>
      </w:r>
      <w:r>
        <w:rPr>
          <w:rFonts w:hint="eastAsia" w:ascii="微软雅黑" w:hAnsi="微软雅黑" w:eastAsia="微软雅黑"/>
          <w:color w:val="000000"/>
          <w:sz w:val="28"/>
          <w:szCs w:val="28"/>
        </w:rPr>
        <w:t>或肝素作为抗凝剂收集血浆。收集后</w:t>
      </w:r>
      <w:r>
        <w:rPr>
          <w:rFonts w:ascii="微软雅黑" w:hAnsi="微软雅黑" w:eastAsia="微软雅黑"/>
          <w:color w:val="000000"/>
          <w:sz w:val="28"/>
          <w:szCs w:val="28"/>
        </w:rPr>
        <w:t>30</w:t>
      </w:r>
      <w:r>
        <w:rPr>
          <w:rFonts w:hint="eastAsia" w:ascii="微软雅黑" w:hAnsi="微软雅黑" w:eastAsia="微软雅黑"/>
          <w:color w:val="000000"/>
          <w:sz w:val="28"/>
          <w:szCs w:val="28"/>
        </w:rPr>
        <w:t>分钟内，以</w:t>
      </w:r>
      <w:r>
        <w:rPr>
          <w:rFonts w:ascii="微软雅黑" w:hAnsi="微软雅黑" w:eastAsia="微软雅黑"/>
          <w:color w:val="000000"/>
          <w:sz w:val="28"/>
          <w:szCs w:val="28"/>
        </w:rPr>
        <w:t>1000</w:t>
      </w:r>
      <w:r>
        <w:rPr>
          <w:rFonts w:hint="eastAsia" w:ascii="微软雅黑" w:hAnsi="微软雅黑" w:eastAsia="微软雅黑"/>
          <w:color w:val="000000"/>
          <w:sz w:val="28"/>
          <w:szCs w:val="28"/>
        </w:rPr>
        <w:t>×</w:t>
      </w:r>
      <w:r>
        <w:rPr>
          <w:rFonts w:ascii="微软雅黑" w:hAnsi="微软雅黑" w:eastAsia="微软雅黑"/>
          <w:color w:val="000000"/>
          <w:sz w:val="28"/>
          <w:szCs w:val="28"/>
        </w:rPr>
        <w:t>g</w:t>
      </w:r>
      <w:r>
        <w:rPr>
          <w:rFonts w:hint="eastAsia" w:ascii="微软雅黑" w:hAnsi="微软雅黑" w:eastAsia="微软雅黑"/>
          <w:color w:val="000000"/>
          <w:sz w:val="28"/>
          <w:szCs w:val="28"/>
        </w:rPr>
        <w:t>离心</w:t>
      </w:r>
      <w:r>
        <w:rPr>
          <w:rFonts w:ascii="微软雅黑" w:hAnsi="微软雅黑" w:eastAsia="微软雅黑"/>
          <w:color w:val="000000"/>
          <w:sz w:val="28"/>
          <w:szCs w:val="28"/>
        </w:rPr>
        <w:t>15</w:t>
      </w:r>
      <w:r>
        <w:rPr>
          <w:rFonts w:hint="eastAsia" w:ascii="微软雅黑" w:hAnsi="微软雅黑" w:eastAsia="微软雅黑"/>
          <w:color w:val="000000"/>
          <w:sz w:val="28"/>
          <w:szCs w:val="28"/>
        </w:rPr>
        <w:t>分钟。立即测定或等分装样品，并将样品储存在≤</w:t>
      </w:r>
      <w:r>
        <w:rPr>
          <w:rFonts w:ascii="微软雅黑" w:hAnsi="微软雅黑" w:eastAsia="微软雅黑"/>
          <w:color w:val="000000"/>
          <w:sz w:val="28"/>
          <w:szCs w:val="28"/>
        </w:rPr>
        <w:t>-20</w:t>
      </w:r>
      <w:r>
        <w:rPr>
          <w:rFonts w:hint="eastAsia" w:ascii="微软雅黑" w:hAnsi="微软雅黑" w:eastAsia="微软雅黑"/>
          <w:color w:val="000000"/>
          <w:sz w:val="28"/>
          <w:szCs w:val="28"/>
        </w:rPr>
        <w:t>℃的温度下。避免重复冻融循环。（</w:t>
      </w:r>
      <w:r>
        <w:rPr>
          <w:rFonts w:hint="eastAsia" w:ascii="微软雅黑" w:hAnsi="微软雅黑" w:eastAsia="微软雅黑"/>
          <w:sz w:val="28"/>
          <w:szCs w:val="28"/>
        </w:rPr>
        <w:t>由于基质效应，血浆样品建议</w:t>
      </w:r>
      <w:r>
        <w:rPr>
          <w:rFonts w:ascii="微软雅黑" w:hAnsi="微软雅黑" w:eastAsia="微软雅黑"/>
          <w:sz w:val="28"/>
          <w:szCs w:val="28"/>
        </w:rPr>
        <w:t>2</w:t>
      </w:r>
      <w:r>
        <w:rPr>
          <w:rFonts w:hint="eastAsia" w:ascii="微软雅黑" w:hAnsi="微软雅黑" w:eastAsia="微软雅黑"/>
          <w:sz w:val="28"/>
          <w:szCs w:val="28"/>
        </w:rPr>
        <w:t>倍稀释。例如：</w:t>
      </w:r>
      <w:r>
        <w:rPr>
          <w:rFonts w:ascii="微软雅黑" w:hAnsi="微软雅黑" w:eastAsia="微软雅黑"/>
          <w:sz w:val="28"/>
          <w:szCs w:val="28"/>
        </w:rPr>
        <w:t>50</w:t>
      </w:r>
      <w:r>
        <w:rPr>
          <w:rFonts w:hint="eastAsia" w:ascii="微软雅黑" w:hAnsi="微软雅黑" w:eastAsia="微软雅黑"/>
          <w:sz w:val="28"/>
          <w:szCs w:val="28"/>
        </w:rPr>
        <w:t>μ</w:t>
      </w:r>
      <w:r>
        <w:rPr>
          <w:rFonts w:ascii="微软雅黑" w:hAnsi="微软雅黑" w:eastAsia="微软雅黑"/>
          <w:sz w:val="28"/>
          <w:szCs w:val="28"/>
        </w:rPr>
        <w:t>L</w:t>
      </w:r>
      <w:r>
        <w:rPr>
          <w:rFonts w:hint="eastAsia" w:ascii="微软雅黑" w:hAnsi="微软雅黑" w:eastAsia="微软雅黑"/>
          <w:sz w:val="28"/>
          <w:szCs w:val="28"/>
        </w:rPr>
        <w:t>样品</w:t>
      </w:r>
      <w:r>
        <w:rPr>
          <w:rFonts w:ascii="微软雅黑" w:hAnsi="微软雅黑" w:eastAsia="微软雅黑"/>
          <w:sz w:val="28"/>
          <w:szCs w:val="28"/>
        </w:rPr>
        <w:t>+50</w:t>
      </w:r>
      <w:r>
        <w:rPr>
          <w:rFonts w:hint="eastAsia" w:ascii="微软雅黑" w:hAnsi="微软雅黑" w:eastAsia="微软雅黑"/>
          <w:sz w:val="28"/>
          <w:szCs w:val="28"/>
        </w:rPr>
        <w:t>μ</w:t>
      </w:r>
      <w:r>
        <w:rPr>
          <w:rFonts w:ascii="微软雅黑" w:hAnsi="微软雅黑" w:eastAsia="微软雅黑"/>
          <w:sz w:val="28"/>
          <w:szCs w:val="28"/>
        </w:rPr>
        <w:t>L</w:t>
      </w:r>
      <w:r>
        <w:rPr>
          <w:rFonts w:hint="eastAsia" w:ascii="微软雅黑" w:hAnsi="微软雅黑" w:eastAsia="微软雅黑"/>
          <w:sz w:val="28"/>
          <w:szCs w:val="28"/>
        </w:rPr>
        <w:t>的</w:t>
      </w:r>
      <w:r>
        <w:rPr>
          <w:rFonts w:ascii="微软雅黑" w:hAnsi="微软雅黑" w:eastAsia="微软雅黑"/>
          <w:sz w:val="28"/>
          <w:szCs w:val="28"/>
        </w:rPr>
        <w:t>1</w:t>
      </w:r>
      <w:r>
        <w:rPr>
          <w:rFonts w:hint="eastAsia" w:ascii="微软雅黑" w:hAnsi="微软雅黑" w:eastAsia="微软雅黑"/>
          <w:sz w:val="28"/>
          <w:szCs w:val="28"/>
        </w:rPr>
        <w:t>×稀释液）</w:t>
      </w:r>
    </w:p>
    <w:p w14:paraId="6B6340C2">
      <w:pPr>
        <w:pStyle w:val="23"/>
        <w:ind w:firstLine="560" w:firstLineChars="200"/>
        <w:rPr>
          <w:rFonts w:hint="eastAsia" w:ascii="微软雅黑" w:hAnsi="微软雅黑" w:eastAsia="微软雅黑"/>
          <w:color w:val="000000"/>
          <w:sz w:val="28"/>
          <w:szCs w:val="28"/>
        </w:rPr>
      </w:pPr>
      <w:r>
        <w:rPr>
          <w:rFonts w:hint="eastAsia" w:ascii="微软雅黑" w:hAnsi="微软雅黑" w:eastAsia="微软雅黑"/>
          <w:color w:val="000000"/>
          <w:sz w:val="28"/>
          <w:szCs w:val="28"/>
        </w:rPr>
        <w:t>注：柠檬酸盐抗凝剂血浆未经验证可用于本试验，使用时应自行验证可行性。溶血的样品不适合用于该测定。</w:t>
      </w:r>
    </w:p>
    <w:p w14:paraId="59B846FD">
      <w:pPr>
        <w:pStyle w:val="23"/>
        <w:ind w:firstLine="560" w:firstLineChars="200"/>
        <w:rPr>
          <w:rFonts w:hint="eastAsia" w:ascii="微软雅黑" w:hAnsi="微软雅黑" w:eastAsia="微软雅黑"/>
          <w:color w:val="000000"/>
          <w:sz w:val="28"/>
          <w:szCs w:val="28"/>
        </w:rPr>
      </w:pPr>
      <w:r>
        <w:rPr>
          <w:rFonts w:hint="eastAsia" w:ascii="微软雅黑" w:hAnsi="微软雅黑" w:eastAsia="微软雅黑"/>
          <w:b/>
          <w:color w:val="000000"/>
          <w:sz w:val="28"/>
          <w:szCs w:val="28"/>
        </w:rPr>
        <w:t>组织匀浆：</w:t>
      </w:r>
      <w:r>
        <w:rPr>
          <w:rFonts w:hint="eastAsia" w:ascii="微软雅黑" w:hAnsi="微软雅黑" w:eastAsia="微软雅黑"/>
          <w:color w:val="000000"/>
          <w:sz w:val="28"/>
          <w:szCs w:val="28"/>
        </w:rPr>
        <w:t>用预冷的</w:t>
      </w:r>
      <w:r>
        <w:rPr>
          <w:rFonts w:ascii="微软雅黑" w:hAnsi="微软雅黑" w:eastAsia="微软雅黑"/>
          <w:color w:val="000000"/>
          <w:sz w:val="28"/>
          <w:szCs w:val="28"/>
        </w:rPr>
        <w:t>PBS(0.01M,pH=7.4)</w:t>
      </w:r>
      <w:r>
        <w:rPr>
          <w:rFonts w:hint="eastAsia" w:ascii="微软雅黑" w:hAnsi="微软雅黑" w:eastAsia="微软雅黑"/>
          <w:color w:val="000000"/>
          <w:sz w:val="28"/>
          <w:szCs w:val="28"/>
        </w:rPr>
        <w:t>冲洗组织，去除残留血液（匀浆中裂解的红细胞会影响检测结果），称重后将组织剪碎。将剪碎的组织与对应体积的</w:t>
      </w:r>
      <w:r>
        <w:rPr>
          <w:rFonts w:ascii="微软雅黑" w:hAnsi="微软雅黑" w:eastAsia="微软雅黑"/>
          <w:color w:val="000000"/>
          <w:sz w:val="28"/>
          <w:szCs w:val="28"/>
        </w:rPr>
        <w:t>PBS</w:t>
      </w:r>
      <w:r>
        <w:rPr>
          <w:rFonts w:hint="eastAsia" w:ascii="微软雅黑" w:hAnsi="微软雅黑" w:eastAsia="微软雅黑"/>
          <w:color w:val="000000"/>
          <w:sz w:val="28"/>
          <w:szCs w:val="28"/>
        </w:rPr>
        <w:t>（一般按</w:t>
      </w:r>
      <w:r>
        <w:rPr>
          <w:rFonts w:ascii="微软雅黑" w:hAnsi="微软雅黑" w:eastAsia="微软雅黑"/>
          <w:color w:val="000000"/>
          <w:sz w:val="28"/>
          <w:szCs w:val="28"/>
        </w:rPr>
        <w:t>1:9</w:t>
      </w:r>
      <w:r>
        <w:rPr>
          <w:rFonts w:hint="eastAsia" w:ascii="微软雅黑" w:hAnsi="微软雅黑" w:eastAsia="微软雅黑"/>
          <w:color w:val="000000"/>
          <w:sz w:val="28"/>
          <w:szCs w:val="28"/>
        </w:rPr>
        <w:t>的重量体积比，比如</w:t>
      </w:r>
      <w:r>
        <w:rPr>
          <w:rFonts w:ascii="微软雅黑" w:hAnsi="微软雅黑" w:eastAsia="微软雅黑"/>
          <w:color w:val="000000"/>
          <w:sz w:val="28"/>
          <w:szCs w:val="28"/>
        </w:rPr>
        <w:t>1g</w:t>
      </w:r>
      <w:r>
        <w:rPr>
          <w:rFonts w:hint="eastAsia" w:ascii="微软雅黑" w:hAnsi="微软雅黑" w:eastAsia="微软雅黑"/>
          <w:color w:val="000000"/>
          <w:sz w:val="28"/>
          <w:szCs w:val="28"/>
        </w:rPr>
        <w:t>的组织样品对应</w:t>
      </w:r>
      <w:r>
        <w:rPr>
          <w:rFonts w:ascii="微软雅黑" w:hAnsi="微软雅黑" w:eastAsia="微软雅黑"/>
          <w:color w:val="000000"/>
          <w:sz w:val="28"/>
          <w:szCs w:val="28"/>
        </w:rPr>
        <w:t>9mL</w:t>
      </w:r>
      <w:r>
        <w:rPr>
          <w:rFonts w:hint="eastAsia" w:ascii="微软雅黑" w:hAnsi="微软雅黑" w:eastAsia="微软雅黑"/>
          <w:color w:val="000000"/>
          <w:sz w:val="28"/>
          <w:szCs w:val="28"/>
        </w:rPr>
        <w:t>的</w:t>
      </w:r>
      <w:r>
        <w:rPr>
          <w:rFonts w:ascii="微软雅黑" w:hAnsi="微软雅黑" w:eastAsia="微软雅黑"/>
          <w:color w:val="000000"/>
          <w:sz w:val="28"/>
          <w:szCs w:val="28"/>
        </w:rPr>
        <w:t>PBS</w:t>
      </w:r>
      <w:r>
        <w:rPr>
          <w:rFonts w:hint="eastAsia" w:ascii="微软雅黑" w:hAnsi="微软雅黑" w:eastAsia="微软雅黑"/>
          <w:color w:val="000000"/>
          <w:sz w:val="28"/>
          <w:szCs w:val="28"/>
        </w:rPr>
        <w:t>，具体体积可根据实验需要适当调整，并做好记录。推荐在</w:t>
      </w:r>
      <w:r>
        <w:rPr>
          <w:rFonts w:ascii="微软雅黑" w:hAnsi="微软雅黑" w:eastAsia="微软雅黑"/>
          <w:color w:val="000000"/>
          <w:sz w:val="28"/>
          <w:szCs w:val="28"/>
        </w:rPr>
        <w:t>PBS</w:t>
      </w:r>
      <w:r>
        <w:rPr>
          <w:rFonts w:hint="eastAsia" w:ascii="微软雅黑" w:hAnsi="微软雅黑" w:eastAsia="微软雅黑"/>
          <w:color w:val="000000"/>
          <w:sz w:val="28"/>
          <w:szCs w:val="28"/>
        </w:rPr>
        <w:t>中加入蛋白酶抑制剂）加入玻璃匀浆器中，于冰上充分研磨或匀浆机研磨。为了进一步裂解组织细胞，可以对匀浆液进行超声破碎，或反复冻融。最后将匀浆液于</w:t>
      </w:r>
      <w:r>
        <w:rPr>
          <w:rFonts w:ascii="微软雅黑" w:hAnsi="微软雅黑" w:eastAsia="微软雅黑"/>
          <w:color w:val="000000"/>
          <w:sz w:val="28"/>
          <w:szCs w:val="28"/>
        </w:rPr>
        <w:t>5000</w:t>
      </w:r>
      <w:r>
        <w:rPr>
          <w:rFonts w:hint="eastAsia" w:ascii="微软雅黑" w:hAnsi="微软雅黑" w:eastAsia="微软雅黑"/>
          <w:color w:val="000000"/>
          <w:sz w:val="28"/>
          <w:szCs w:val="28"/>
        </w:rPr>
        <w:t>×</w:t>
      </w:r>
      <w:r>
        <w:rPr>
          <w:rFonts w:ascii="微软雅黑" w:hAnsi="微软雅黑" w:eastAsia="微软雅黑"/>
          <w:color w:val="000000"/>
          <w:sz w:val="28"/>
          <w:szCs w:val="28"/>
        </w:rPr>
        <w:t>g</w:t>
      </w:r>
      <w:r>
        <w:rPr>
          <w:rFonts w:hint="eastAsia" w:ascii="微软雅黑" w:hAnsi="微软雅黑" w:eastAsia="微软雅黑"/>
          <w:color w:val="000000"/>
          <w:sz w:val="28"/>
          <w:szCs w:val="28"/>
        </w:rPr>
        <w:t>离心</w:t>
      </w:r>
      <w:r>
        <w:rPr>
          <w:rFonts w:ascii="微软雅黑" w:hAnsi="微软雅黑" w:eastAsia="微软雅黑"/>
          <w:color w:val="000000"/>
          <w:sz w:val="28"/>
          <w:szCs w:val="28"/>
        </w:rPr>
        <w:t>5-10</w:t>
      </w:r>
      <w:r>
        <w:rPr>
          <w:rFonts w:hint="eastAsia" w:ascii="微软雅黑" w:hAnsi="微软雅黑" w:eastAsia="微软雅黑"/>
          <w:color w:val="000000"/>
          <w:sz w:val="28"/>
          <w:szCs w:val="28"/>
        </w:rPr>
        <w:t>分钟，取上清检测。</w:t>
      </w:r>
    </w:p>
    <w:p w14:paraId="0D884323">
      <w:pPr>
        <w:pStyle w:val="23"/>
        <w:ind w:firstLine="560" w:firstLineChars="200"/>
        <w:rPr>
          <w:rFonts w:hint="eastAsia" w:ascii="微软雅黑" w:hAnsi="微软雅黑" w:eastAsia="微软雅黑"/>
          <w:color w:val="000000"/>
          <w:sz w:val="28"/>
          <w:szCs w:val="28"/>
        </w:rPr>
      </w:pPr>
      <w:r>
        <w:rPr>
          <w:rFonts w:hint="eastAsia" w:ascii="微软雅黑" w:hAnsi="微软雅黑" w:eastAsia="微软雅黑"/>
          <w:b/>
          <w:color w:val="000000"/>
          <w:sz w:val="28"/>
          <w:szCs w:val="28"/>
        </w:rPr>
        <w:t>细胞裂解液：</w:t>
      </w:r>
      <w:r>
        <w:rPr>
          <w:rFonts w:hint="eastAsia" w:ascii="微软雅黑" w:hAnsi="微软雅黑" w:eastAsia="微软雅黑"/>
          <w:color w:val="000000"/>
          <w:sz w:val="28"/>
          <w:szCs w:val="28"/>
        </w:rPr>
        <w:t>贴壁细胞用预冷</w:t>
      </w:r>
      <w:r>
        <w:rPr>
          <w:rFonts w:ascii="微软雅黑" w:hAnsi="微软雅黑" w:eastAsia="微软雅黑"/>
          <w:color w:val="000000"/>
          <w:sz w:val="28"/>
          <w:szCs w:val="28"/>
        </w:rPr>
        <w:t>PBS</w:t>
      </w:r>
      <w:r>
        <w:rPr>
          <w:rFonts w:hint="eastAsia" w:ascii="微软雅黑" w:hAnsi="微软雅黑" w:eastAsia="微软雅黑"/>
          <w:color w:val="000000"/>
          <w:sz w:val="28"/>
          <w:szCs w:val="28"/>
        </w:rPr>
        <w:t>轻轻清洗，然后用胰蛋白酶消化，</w:t>
      </w:r>
      <w:r>
        <w:rPr>
          <w:rFonts w:ascii="微软雅黑" w:hAnsi="微软雅黑" w:eastAsia="微软雅黑"/>
          <w:color w:val="000000"/>
          <w:sz w:val="28"/>
          <w:szCs w:val="28"/>
        </w:rPr>
        <w:t>1000</w:t>
      </w:r>
      <w:r>
        <w:rPr>
          <w:rFonts w:hint="eastAsia" w:ascii="微软雅黑" w:hAnsi="微软雅黑" w:eastAsia="微软雅黑"/>
          <w:color w:val="000000"/>
          <w:sz w:val="28"/>
          <w:szCs w:val="28"/>
        </w:rPr>
        <w:t>×</w:t>
      </w:r>
      <w:r>
        <w:rPr>
          <w:rFonts w:ascii="微软雅黑" w:hAnsi="微软雅黑" w:eastAsia="微软雅黑"/>
          <w:color w:val="000000"/>
          <w:sz w:val="28"/>
          <w:szCs w:val="28"/>
        </w:rPr>
        <w:t>g</w:t>
      </w:r>
      <w:r>
        <w:rPr>
          <w:rFonts w:hint="eastAsia" w:ascii="微软雅黑" w:hAnsi="微软雅黑" w:eastAsia="微软雅黑"/>
          <w:color w:val="000000"/>
          <w:sz w:val="28"/>
          <w:szCs w:val="28"/>
        </w:rPr>
        <w:t>离心</w:t>
      </w:r>
      <w:r>
        <w:rPr>
          <w:rFonts w:ascii="微软雅黑" w:hAnsi="微软雅黑" w:eastAsia="微软雅黑"/>
          <w:color w:val="000000"/>
          <w:sz w:val="28"/>
          <w:szCs w:val="28"/>
        </w:rPr>
        <w:t>5</w:t>
      </w:r>
      <w:r>
        <w:rPr>
          <w:rFonts w:hint="eastAsia" w:ascii="微软雅黑" w:hAnsi="微软雅黑" w:eastAsia="微软雅黑"/>
          <w:color w:val="000000"/>
          <w:sz w:val="28"/>
          <w:szCs w:val="28"/>
        </w:rPr>
        <w:t>分钟后收集细胞；悬浮细胞可直接离心收集。收集的细胞用预冷</w:t>
      </w:r>
      <w:r>
        <w:rPr>
          <w:rFonts w:ascii="微软雅黑" w:hAnsi="微软雅黑" w:eastAsia="微软雅黑"/>
          <w:color w:val="000000"/>
          <w:sz w:val="28"/>
          <w:szCs w:val="28"/>
        </w:rPr>
        <w:t>PBS</w:t>
      </w:r>
      <w:r>
        <w:rPr>
          <w:rFonts w:hint="eastAsia" w:ascii="微软雅黑" w:hAnsi="微软雅黑" w:eastAsia="微软雅黑"/>
          <w:color w:val="000000"/>
          <w:sz w:val="28"/>
          <w:szCs w:val="28"/>
        </w:rPr>
        <w:t>清洗</w:t>
      </w:r>
      <w:r>
        <w:rPr>
          <w:rFonts w:ascii="微软雅黑" w:hAnsi="微软雅黑" w:eastAsia="微软雅黑"/>
          <w:color w:val="000000"/>
          <w:sz w:val="28"/>
          <w:szCs w:val="28"/>
        </w:rPr>
        <w:t>3</w:t>
      </w:r>
      <w:r>
        <w:rPr>
          <w:rFonts w:hint="eastAsia" w:ascii="微软雅黑" w:hAnsi="微软雅黑" w:eastAsia="微软雅黑"/>
          <w:color w:val="000000"/>
          <w:sz w:val="28"/>
          <w:szCs w:val="28"/>
        </w:rPr>
        <w:t>次，每</w:t>
      </w:r>
      <w:r>
        <w:rPr>
          <w:rFonts w:ascii="微软雅黑" w:hAnsi="微软雅黑" w:eastAsia="微软雅黑"/>
          <w:color w:val="000000"/>
          <w:sz w:val="28"/>
          <w:szCs w:val="28"/>
        </w:rPr>
        <w:t>1</w:t>
      </w:r>
      <w:r>
        <w:rPr>
          <w:rFonts w:hint="eastAsia" w:ascii="微软雅黑" w:hAnsi="微软雅黑" w:eastAsia="微软雅黑"/>
          <w:color w:val="000000"/>
          <w:sz w:val="28"/>
          <w:szCs w:val="28"/>
        </w:rPr>
        <w:t>×</w:t>
      </w:r>
      <w:r>
        <w:rPr>
          <w:rFonts w:ascii="微软雅黑" w:hAnsi="微软雅黑" w:eastAsia="微软雅黑"/>
          <w:color w:val="000000"/>
          <w:sz w:val="28"/>
          <w:szCs w:val="28"/>
        </w:rPr>
        <w:t>10</w:t>
      </w:r>
      <w:r>
        <w:rPr>
          <w:rFonts w:ascii="微软雅黑" w:hAnsi="微软雅黑" w:eastAsia="微软雅黑"/>
          <w:color w:val="000000"/>
          <w:sz w:val="28"/>
          <w:szCs w:val="28"/>
          <w:vertAlign w:val="superscript"/>
        </w:rPr>
        <w:t>6</w:t>
      </w:r>
      <w:r>
        <w:rPr>
          <w:rFonts w:hint="eastAsia" w:ascii="微软雅黑" w:hAnsi="微软雅黑" w:eastAsia="微软雅黑"/>
          <w:color w:val="000000"/>
          <w:sz w:val="28"/>
          <w:szCs w:val="28"/>
        </w:rPr>
        <w:t>个细胞中加入</w:t>
      </w:r>
      <w:r>
        <w:rPr>
          <w:rFonts w:ascii="微软雅黑" w:hAnsi="微软雅黑" w:eastAsia="微软雅黑"/>
          <w:color w:val="000000"/>
          <w:sz w:val="28"/>
          <w:szCs w:val="28"/>
        </w:rPr>
        <w:t>150-200</w:t>
      </w:r>
      <w:r>
        <w:rPr>
          <w:rFonts w:hint="eastAsia" w:ascii="微软雅黑" w:hAnsi="微软雅黑" w:eastAsia="微软雅黑"/>
          <w:color w:val="000000"/>
          <w:sz w:val="28"/>
          <w:szCs w:val="28"/>
        </w:rPr>
        <w:t>μ</w:t>
      </w:r>
      <w:r>
        <w:rPr>
          <w:rFonts w:ascii="微软雅黑" w:hAnsi="微软雅黑" w:eastAsia="微软雅黑"/>
          <w:color w:val="000000"/>
          <w:sz w:val="28"/>
          <w:szCs w:val="28"/>
        </w:rPr>
        <w:t>L</w:t>
      </w:r>
      <w:r>
        <w:rPr>
          <w:rFonts w:hint="eastAsia" w:ascii="微软雅黑" w:hAnsi="微软雅黑" w:eastAsia="微软雅黑"/>
          <w:color w:val="000000"/>
          <w:sz w:val="28"/>
          <w:szCs w:val="28"/>
        </w:rPr>
        <w:t>的</w:t>
      </w:r>
      <w:r>
        <w:rPr>
          <w:rFonts w:ascii="微软雅黑" w:hAnsi="微软雅黑" w:eastAsia="微软雅黑"/>
          <w:color w:val="000000"/>
          <w:sz w:val="28"/>
          <w:szCs w:val="28"/>
        </w:rPr>
        <w:t>PBS</w:t>
      </w:r>
      <w:r>
        <w:rPr>
          <w:rFonts w:hint="eastAsia" w:ascii="微软雅黑" w:hAnsi="微软雅黑" w:eastAsia="微软雅黑"/>
          <w:color w:val="000000"/>
          <w:sz w:val="28"/>
          <w:szCs w:val="28"/>
        </w:rPr>
        <w:t>重悬（推荐在</w:t>
      </w:r>
      <w:r>
        <w:rPr>
          <w:rFonts w:ascii="微软雅黑" w:hAnsi="微软雅黑" w:eastAsia="微软雅黑"/>
          <w:color w:val="000000"/>
          <w:sz w:val="28"/>
          <w:szCs w:val="28"/>
        </w:rPr>
        <w:t>PBS</w:t>
      </w:r>
      <w:r>
        <w:rPr>
          <w:rFonts w:hint="eastAsia" w:ascii="微软雅黑" w:hAnsi="微软雅黑" w:eastAsia="微软雅黑"/>
          <w:color w:val="000000"/>
          <w:sz w:val="28"/>
          <w:szCs w:val="28"/>
        </w:rPr>
        <w:t>中加入蛋白酶抑制剂；若含量很低可适当减少</w:t>
      </w:r>
      <w:r>
        <w:rPr>
          <w:rFonts w:ascii="微软雅黑" w:hAnsi="微软雅黑" w:eastAsia="微软雅黑"/>
          <w:color w:val="000000"/>
          <w:sz w:val="28"/>
          <w:szCs w:val="28"/>
        </w:rPr>
        <w:t>PBS</w:t>
      </w:r>
      <w:r>
        <w:rPr>
          <w:rFonts w:hint="eastAsia" w:ascii="微软雅黑" w:hAnsi="微软雅黑" w:eastAsia="微软雅黑"/>
          <w:color w:val="000000"/>
          <w:sz w:val="28"/>
          <w:szCs w:val="28"/>
        </w:rPr>
        <w:t>体积）并通过反复冻融或超声使细胞破碎。将提取液于</w:t>
      </w:r>
      <w:r>
        <w:rPr>
          <w:rFonts w:ascii="微软雅黑" w:hAnsi="微软雅黑" w:eastAsia="微软雅黑"/>
          <w:color w:val="000000"/>
          <w:sz w:val="28"/>
          <w:szCs w:val="28"/>
        </w:rPr>
        <w:t>2-8</w:t>
      </w:r>
      <w:r>
        <w:rPr>
          <w:rFonts w:hint="eastAsia" w:ascii="微软雅黑" w:hAnsi="微软雅黑" w:eastAsia="微软雅黑"/>
          <w:color w:val="000000"/>
          <w:sz w:val="28"/>
          <w:szCs w:val="28"/>
        </w:rPr>
        <w:t>℃，</w:t>
      </w:r>
      <w:r>
        <w:rPr>
          <w:rFonts w:ascii="微软雅黑" w:hAnsi="微软雅黑" w:eastAsia="微软雅黑"/>
          <w:color w:val="000000"/>
          <w:sz w:val="28"/>
          <w:szCs w:val="28"/>
        </w:rPr>
        <w:t>1500</w:t>
      </w:r>
      <w:r>
        <w:rPr>
          <w:rFonts w:hint="eastAsia" w:ascii="微软雅黑" w:hAnsi="微软雅黑" w:eastAsia="微软雅黑"/>
          <w:color w:val="000000"/>
          <w:sz w:val="28"/>
          <w:szCs w:val="28"/>
        </w:rPr>
        <w:t>×</w:t>
      </w:r>
      <w:r>
        <w:rPr>
          <w:rFonts w:ascii="微软雅黑" w:hAnsi="微软雅黑" w:eastAsia="微软雅黑"/>
          <w:color w:val="000000"/>
          <w:sz w:val="28"/>
          <w:szCs w:val="28"/>
        </w:rPr>
        <w:t>g</w:t>
      </w:r>
      <w:r>
        <w:rPr>
          <w:rFonts w:hint="eastAsia" w:ascii="微软雅黑" w:hAnsi="微软雅黑" w:eastAsia="微软雅黑"/>
          <w:color w:val="000000"/>
          <w:sz w:val="28"/>
          <w:szCs w:val="28"/>
        </w:rPr>
        <w:t>离心</w:t>
      </w:r>
      <w:r>
        <w:rPr>
          <w:rFonts w:ascii="微软雅黑" w:hAnsi="微软雅黑" w:eastAsia="微软雅黑"/>
          <w:color w:val="000000"/>
          <w:sz w:val="28"/>
          <w:szCs w:val="28"/>
        </w:rPr>
        <w:t>10</w:t>
      </w:r>
      <w:r>
        <w:rPr>
          <w:rFonts w:hint="eastAsia" w:ascii="微软雅黑" w:hAnsi="微软雅黑" w:eastAsia="微软雅黑"/>
          <w:color w:val="000000"/>
          <w:sz w:val="28"/>
          <w:szCs w:val="28"/>
        </w:rPr>
        <w:t>分钟，取上清检测。</w:t>
      </w:r>
    </w:p>
    <w:p w14:paraId="3F84466B">
      <w:pPr>
        <w:pStyle w:val="23"/>
        <w:ind w:firstLine="560" w:firstLineChars="200"/>
        <w:rPr>
          <w:rFonts w:hint="eastAsia" w:ascii="微软雅黑" w:hAnsi="微软雅黑" w:eastAsia="微软雅黑"/>
          <w:color w:val="000000"/>
          <w:sz w:val="28"/>
          <w:szCs w:val="28"/>
        </w:rPr>
      </w:pPr>
      <w:r>
        <w:rPr>
          <w:rFonts w:hint="eastAsia" w:ascii="微软雅黑" w:hAnsi="微软雅黑" w:eastAsia="微软雅黑"/>
          <w:b/>
          <w:color w:val="000000"/>
          <w:sz w:val="28"/>
          <w:szCs w:val="28"/>
        </w:rPr>
        <w:t>其它样本类型：</w:t>
      </w:r>
      <w:r>
        <w:rPr>
          <w:rFonts w:ascii="微软雅黑" w:hAnsi="微软雅黑" w:eastAsia="微软雅黑"/>
          <w:color w:val="000000"/>
          <w:sz w:val="28"/>
          <w:szCs w:val="28"/>
        </w:rPr>
        <w:t>1000</w:t>
      </w:r>
      <w:r>
        <w:rPr>
          <w:rFonts w:hint="eastAsia" w:ascii="微软雅黑" w:hAnsi="微软雅黑" w:eastAsia="微软雅黑"/>
          <w:color w:val="000000"/>
          <w:sz w:val="28"/>
          <w:szCs w:val="28"/>
        </w:rPr>
        <w:t>×</w:t>
      </w:r>
      <w:r>
        <w:rPr>
          <w:rFonts w:ascii="微软雅黑" w:hAnsi="微软雅黑" w:eastAsia="微软雅黑"/>
          <w:color w:val="000000"/>
          <w:sz w:val="28"/>
          <w:szCs w:val="28"/>
        </w:rPr>
        <w:t>g</w:t>
      </w:r>
      <w:r>
        <w:rPr>
          <w:rFonts w:hint="eastAsia" w:ascii="微软雅黑" w:hAnsi="微软雅黑" w:eastAsia="微软雅黑"/>
          <w:color w:val="000000"/>
          <w:sz w:val="28"/>
          <w:szCs w:val="28"/>
        </w:rPr>
        <w:t>离心</w:t>
      </w:r>
      <w:r>
        <w:rPr>
          <w:rFonts w:ascii="微软雅黑" w:hAnsi="微软雅黑" w:eastAsia="微软雅黑"/>
          <w:color w:val="000000"/>
          <w:sz w:val="28"/>
          <w:szCs w:val="28"/>
        </w:rPr>
        <w:t>20</w:t>
      </w:r>
      <w:r>
        <w:rPr>
          <w:rFonts w:hint="eastAsia" w:ascii="微软雅黑" w:hAnsi="微软雅黑" w:eastAsia="微软雅黑"/>
          <w:color w:val="000000"/>
          <w:sz w:val="28"/>
          <w:szCs w:val="28"/>
        </w:rPr>
        <w:t>分钟，取上清即可检测。</w:t>
      </w:r>
      <w:bookmarkStart w:id="8" w:name="_Toc164420463"/>
    </w:p>
    <w:p w14:paraId="508E5342">
      <w:pPr>
        <w:pStyle w:val="17"/>
        <w:ind w:firstLine="560" w:firstLineChars="200"/>
        <w:rPr>
          <w:b/>
          <w:bCs/>
          <w:sz w:val="28"/>
          <w:szCs w:val="28"/>
        </w:rPr>
      </w:pPr>
      <w:r>
        <w:rPr>
          <w:rFonts w:ascii="微软雅黑" w:hAnsi="微软雅黑" w:eastAsia="微软雅黑" w:cs="Times New Roman"/>
          <w:b/>
          <w:sz w:val="28"/>
          <w:szCs w:val="28"/>
        </w:rPr>
        <w:t>样品外观：</w:t>
      </w:r>
      <w:r>
        <w:rPr>
          <w:rFonts w:ascii="微软雅黑" w:hAnsi="微软雅黑" w:eastAsia="微软雅黑" w:cs="Times New Roman"/>
          <w:sz w:val="28"/>
          <w:szCs w:val="28"/>
        </w:rPr>
        <w:t>样品应清澈透明，悬浮物应离心去除。</w:t>
      </w:r>
    </w:p>
    <w:p w14:paraId="7F1CE363">
      <w:pPr>
        <w:pStyle w:val="17"/>
        <w:ind w:firstLine="560" w:firstLineChars="200"/>
        <w:rPr>
          <w:rFonts w:ascii="微软雅黑" w:hAnsi="微软雅黑" w:eastAsia="微软雅黑" w:cs="Times New Roman"/>
          <w:sz w:val="28"/>
          <w:szCs w:val="28"/>
        </w:rPr>
      </w:pPr>
      <w:r>
        <w:rPr>
          <w:rFonts w:ascii="微软雅黑" w:hAnsi="微软雅黑" w:eastAsia="微软雅黑" w:cs="Times New Roman"/>
          <w:b/>
          <w:sz w:val="28"/>
          <w:szCs w:val="28"/>
        </w:rPr>
        <w:t>样品保存：</w:t>
      </w:r>
      <w:r>
        <w:rPr>
          <w:rFonts w:ascii="微软雅黑" w:hAnsi="微软雅黑" w:eastAsia="微软雅黑" w:cs="Times New Roman"/>
          <w:sz w:val="28"/>
          <w:szCs w:val="28"/>
        </w:rPr>
        <w:t>样品收集后若在 1 周内进行检测的可保存于4℃，若不能及时检测，请按一次使用量分装，冻存于-20℃（1个月内检测），或-80℃（6个月内检测），避免反复冻融，标本溶血会影响最后检测结果，因此溶血标本不宜进行此项检测。</w:t>
      </w:r>
    </w:p>
    <w:p w14:paraId="4C74506B">
      <w:pPr>
        <w:pStyle w:val="17"/>
        <w:ind w:firstLine="560" w:firstLineChars="200"/>
        <w:rPr>
          <w:rFonts w:hint="eastAsia" w:ascii="微软雅黑" w:hAnsi="微软雅黑" w:eastAsia="微软雅黑" w:cs="Times New Roman"/>
          <w:sz w:val="28"/>
          <w:szCs w:val="28"/>
        </w:rPr>
      </w:pPr>
    </w:p>
    <w:p w14:paraId="124C5A0F">
      <w:pPr>
        <w:pStyle w:val="10"/>
        <w:rPr>
          <w:rFonts w:hint="eastAsia"/>
          <w:color w:val="auto"/>
          <w:u w:val="single"/>
        </w:rPr>
      </w:pPr>
      <w:r>
        <w:rPr>
          <w:rFonts w:hint="eastAsia"/>
          <w:color w:val="auto"/>
          <w:u w:val="single"/>
        </w:rPr>
        <w:t>试剂准备</w:t>
      </w:r>
      <w:bookmarkEnd w:id="8"/>
      <w:r>
        <w:rPr>
          <w:rFonts w:hint="eastAsia"/>
          <w:color w:val="auto"/>
          <w:u w:val="single"/>
        </w:rPr>
        <w:t>工作</w:t>
      </w:r>
    </w:p>
    <w:p w14:paraId="1627A620">
      <w:pPr>
        <w:pStyle w:val="23"/>
        <w:ind w:firstLine="560" w:firstLineChars="200"/>
        <w:rPr>
          <w:rFonts w:hint="eastAsia" w:ascii="微软雅黑" w:hAnsi="微软雅黑" w:eastAsia="微软雅黑"/>
          <w:color w:val="000000"/>
          <w:sz w:val="28"/>
          <w:szCs w:val="28"/>
        </w:rPr>
      </w:pPr>
      <w:r>
        <w:rPr>
          <w:rFonts w:hint="eastAsia" w:ascii="微软雅黑" w:hAnsi="微软雅黑" w:eastAsia="微软雅黑"/>
          <w:color w:val="000000"/>
          <w:sz w:val="28"/>
          <w:szCs w:val="28"/>
        </w:rPr>
        <w:t>使用前将所有试剂置于室温平衡</w:t>
      </w:r>
      <w:r>
        <w:rPr>
          <w:rFonts w:ascii="微软雅黑" w:hAnsi="微软雅黑" w:eastAsia="微软雅黑"/>
          <w:color w:val="000000"/>
          <w:sz w:val="28"/>
          <w:szCs w:val="28"/>
        </w:rPr>
        <w:t>30</w:t>
      </w:r>
      <w:r>
        <w:rPr>
          <w:rFonts w:hint="eastAsia" w:ascii="微软雅黑" w:hAnsi="微软雅黑" w:eastAsia="微软雅黑"/>
          <w:color w:val="000000"/>
          <w:sz w:val="28"/>
          <w:szCs w:val="28"/>
        </w:rPr>
        <w:t>分钟左右。</w:t>
      </w:r>
    </w:p>
    <w:p w14:paraId="0A1CE7B4">
      <w:pPr>
        <w:pStyle w:val="23"/>
        <w:ind w:firstLine="560" w:firstLineChars="200"/>
        <w:rPr>
          <w:rFonts w:hint="eastAsia" w:ascii="微软雅黑" w:hAnsi="微软雅黑" w:eastAsia="微软雅黑"/>
          <w:color w:val="000000"/>
          <w:sz w:val="28"/>
          <w:szCs w:val="28"/>
        </w:rPr>
      </w:pPr>
      <w:r>
        <w:rPr>
          <w:rFonts w:hint="eastAsia" w:ascii="微软雅黑" w:hAnsi="微软雅黑" w:eastAsia="微软雅黑"/>
          <w:b/>
          <w:color w:val="000000"/>
          <w:sz w:val="28"/>
          <w:szCs w:val="28"/>
        </w:rPr>
        <w:t>洗涤液</w:t>
      </w:r>
      <w:r>
        <w:rPr>
          <w:rFonts w:ascii="微软雅黑" w:hAnsi="微软雅黑" w:eastAsia="微软雅黑"/>
          <w:b/>
          <w:color w:val="000000"/>
          <w:sz w:val="28"/>
          <w:szCs w:val="28"/>
        </w:rPr>
        <w:t>/</w:t>
      </w:r>
      <w:r>
        <w:rPr>
          <w:rFonts w:hint="eastAsia" w:ascii="微软雅黑" w:hAnsi="微软雅黑" w:eastAsia="微软雅黑"/>
          <w:b/>
          <w:color w:val="000000"/>
          <w:sz w:val="28"/>
          <w:szCs w:val="28"/>
        </w:rPr>
        <w:t>稀释液配置：</w:t>
      </w:r>
      <w:r>
        <w:rPr>
          <w:rFonts w:hint="eastAsia" w:ascii="微软雅黑" w:hAnsi="微软雅黑" w:eastAsia="微软雅黑"/>
          <w:color w:val="000000"/>
          <w:sz w:val="28"/>
          <w:szCs w:val="28"/>
        </w:rPr>
        <w:t>如果洗涤液</w:t>
      </w:r>
      <w:r>
        <w:rPr>
          <w:rFonts w:ascii="微软雅黑" w:hAnsi="微软雅黑" w:eastAsia="微软雅黑"/>
          <w:color w:val="000000"/>
          <w:sz w:val="28"/>
          <w:szCs w:val="28"/>
        </w:rPr>
        <w:t>/</w:t>
      </w:r>
      <w:r>
        <w:rPr>
          <w:rFonts w:hint="eastAsia" w:ascii="微软雅黑" w:hAnsi="微软雅黑" w:eastAsia="微软雅黑"/>
          <w:color w:val="000000"/>
          <w:sz w:val="28"/>
          <w:szCs w:val="28"/>
        </w:rPr>
        <w:t>稀释液（</w:t>
      </w:r>
      <w:r>
        <w:rPr>
          <w:rFonts w:ascii="微软雅黑" w:hAnsi="微软雅黑" w:eastAsia="微软雅黑"/>
          <w:color w:val="000000"/>
          <w:sz w:val="28"/>
          <w:szCs w:val="28"/>
        </w:rPr>
        <w:t>20</w:t>
      </w:r>
      <w:r>
        <w:rPr>
          <w:rFonts w:hint="eastAsia" w:ascii="微软雅黑" w:hAnsi="微软雅黑" w:eastAsia="微软雅黑"/>
          <w:color w:val="000000"/>
          <w:sz w:val="28"/>
          <w:szCs w:val="28"/>
        </w:rPr>
        <w:t>×）有晶体析出，需在</w:t>
      </w:r>
      <w:r>
        <w:rPr>
          <w:rFonts w:ascii="微软雅黑" w:hAnsi="微软雅黑" w:eastAsia="微软雅黑"/>
          <w:color w:val="000000"/>
          <w:sz w:val="28"/>
          <w:szCs w:val="28"/>
        </w:rPr>
        <w:t>37</w:t>
      </w:r>
      <w:r>
        <w:rPr>
          <w:rFonts w:hint="eastAsia" w:ascii="微软雅黑" w:hAnsi="微软雅黑" w:eastAsia="微软雅黑"/>
          <w:color w:val="000000"/>
          <w:sz w:val="28"/>
          <w:szCs w:val="28"/>
        </w:rPr>
        <w:t>℃下加热⾄晶体全部溶解。用蒸馏水</w:t>
      </w:r>
      <w:r>
        <w:rPr>
          <w:rFonts w:ascii="微软雅黑" w:hAnsi="微软雅黑" w:eastAsia="微软雅黑"/>
          <w:color w:val="000000"/>
          <w:sz w:val="28"/>
          <w:szCs w:val="28"/>
        </w:rPr>
        <w:t>1:20</w:t>
      </w:r>
      <w:r>
        <w:rPr>
          <w:rFonts w:hint="eastAsia" w:ascii="微软雅黑" w:hAnsi="微软雅黑" w:eastAsia="微软雅黑"/>
          <w:color w:val="000000"/>
          <w:sz w:val="28"/>
          <w:szCs w:val="28"/>
        </w:rPr>
        <w:t>稀释（例如：</w:t>
      </w:r>
      <w:r>
        <w:rPr>
          <w:rFonts w:ascii="微软雅黑" w:hAnsi="微软雅黑" w:eastAsia="微软雅黑"/>
          <w:color w:val="000000"/>
          <w:sz w:val="28"/>
          <w:szCs w:val="28"/>
        </w:rPr>
        <w:t xml:space="preserve">1mL </w:t>
      </w:r>
      <w:r>
        <w:rPr>
          <w:rFonts w:hint="eastAsia" w:ascii="微软雅黑" w:hAnsi="微软雅黑" w:eastAsia="微软雅黑"/>
          <w:color w:val="000000"/>
          <w:sz w:val="28"/>
          <w:szCs w:val="28"/>
        </w:rPr>
        <w:t>浓缩洗涤液加入</w:t>
      </w:r>
      <w:r>
        <w:rPr>
          <w:rFonts w:ascii="微软雅黑" w:hAnsi="微软雅黑" w:eastAsia="微软雅黑"/>
          <w:color w:val="000000"/>
          <w:sz w:val="28"/>
          <w:szCs w:val="28"/>
        </w:rPr>
        <w:t>19mL</w:t>
      </w:r>
      <w:r>
        <w:rPr>
          <w:rFonts w:hint="eastAsia" w:ascii="微软雅黑" w:hAnsi="微软雅黑" w:eastAsia="微软雅黑"/>
          <w:color w:val="000000"/>
          <w:sz w:val="28"/>
          <w:szCs w:val="28"/>
        </w:rPr>
        <w:t>的蒸馏水）</w:t>
      </w:r>
    </w:p>
    <w:p w14:paraId="11F1A236">
      <w:pPr>
        <w:pStyle w:val="23"/>
        <w:ind w:firstLine="560" w:firstLineChars="200"/>
        <w:rPr>
          <w:rFonts w:hint="eastAsia" w:ascii="微软雅黑" w:hAnsi="微软雅黑" w:eastAsia="微软雅黑"/>
          <w:color w:val="000000"/>
          <w:sz w:val="28"/>
          <w:szCs w:val="28"/>
        </w:rPr>
      </w:pPr>
      <w:r>
        <w:rPr>
          <w:rFonts w:hint="eastAsia" w:ascii="微软雅黑" w:hAnsi="微软雅黑" w:eastAsia="微软雅黑"/>
          <w:b/>
          <w:color w:val="000000"/>
          <w:sz w:val="28"/>
          <w:szCs w:val="28"/>
        </w:rPr>
        <w:t>标准品配置</w:t>
      </w:r>
      <w:r>
        <w:rPr>
          <w:rFonts w:hint="eastAsia" w:ascii="微软雅黑" w:hAnsi="微软雅黑" w:eastAsia="微软雅黑"/>
          <w:b/>
          <w:color w:val="000000"/>
          <w:sz w:val="28"/>
          <w:szCs w:val="28"/>
          <w:lang w:val="en-US" w:eastAsia="zh-CN"/>
        </w:rPr>
        <w:t xml:space="preserve"> </w:t>
      </w:r>
      <w:r>
        <w:rPr>
          <w:rFonts w:hint="eastAsia" w:ascii="微软雅黑" w:hAnsi="微软雅黑" w:eastAsia="微软雅黑"/>
          <w:b/>
          <w:color w:val="000000"/>
          <w:sz w:val="28"/>
          <w:szCs w:val="28"/>
        </w:rPr>
        <w:t>：</w:t>
      </w:r>
      <w:r>
        <w:rPr>
          <w:rFonts w:hint="eastAsia" w:ascii="微软雅黑" w:hAnsi="微软雅黑" w:eastAsia="微软雅黑"/>
          <w:color w:val="000000"/>
          <w:sz w:val="28"/>
          <w:szCs w:val="28"/>
        </w:rPr>
        <w:t>试剂盒中取出标准品，准备7个试管，先从</w:t>
      </w:r>
      <w:r>
        <w:rPr>
          <w:rFonts w:hint="eastAsia" w:ascii="微软雅黑" w:hAnsi="微软雅黑" w:eastAsia="微软雅黑"/>
          <w:color w:val="F79646" w:themeColor="accent6"/>
          <w:sz w:val="28"/>
          <w:szCs w:val="28"/>
          <w14:textFill>
            <w14:solidFill>
              <w14:schemeClr w14:val="accent6"/>
            </w14:solidFill>
          </w14:textFill>
        </w:rPr>
        <w:t>1μg/mL</w:t>
      </w:r>
      <w:r>
        <w:rPr>
          <w:rFonts w:hint="eastAsia" w:ascii="微软雅黑" w:hAnsi="微软雅黑" w:eastAsia="微软雅黑"/>
          <w:color w:val="000000"/>
          <w:sz w:val="28"/>
          <w:szCs w:val="28"/>
        </w:rPr>
        <w:t xml:space="preserve">标准品（200μL）按需吸取一定量用1×稀释液稀释至50ng/mL（例：50μL的标准品母液+950μL的1×稀释液，制备得到1000μL的50ng/mL浓度标准品），随后在6个试管中分别加入500μL的1×稀释液，在这6个单独的试管中将50ng/mL标准品依次2倍倍比稀释至6个梯度，共配制7个浓度的标准品，依次为:  </w:t>
      </w:r>
      <w:r>
        <w:rPr>
          <w:rFonts w:hint="eastAsia" w:ascii="微软雅黑" w:hAnsi="微软雅黑" w:eastAsia="微软雅黑"/>
          <w:color w:val="F79646" w:themeColor="accent6"/>
          <w:sz w:val="28"/>
          <w:szCs w:val="28"/>
          <w14:textFill>
            <w14:solidFill>
              <w14:schemeClr w14:val="accent6"/>
            </w14:solidFill>
          </w14:textFill>
        </w:rPr>
        <w:t>50ng/mL、25ng/mL、12.5ng/mL、6.25ng/mL、3.125ng/mL、1.563ng/mL、0.781ng/mL，</w:t>
      </w:r>
      <w:r>
        <w:rPr>
          <w:rFonts w:hint="eastAsia" w:ascii="微软雅黑" w:hAnsi="微软雅黑" w:eastAsia="微软雅黑"/>
          <w:color w:val="000000"/>
          <w:sz w:val="28"/>
          <w:szCs w:val="28"/>
        </w:rPr>
        <w:t>从最高浓度标准品溶液中吸取500μL标准品到下一个试管中，轻轻吹打混匀，以此类推进行标准品的倍比稀释（如图所示），1×稀释液用作零浓度标准品(0ng/mL)。</w:t>
      </w:r>
      <w:r>
        <w:rPr>
          <w:rFonts w:hint="eastAsia" w:ascii="微软雅黑" w:hAnsi="微软雅黑" w:eastAsia="微软雅黑"/>
          <w:color w:val="000000" w:themeColor="text1"/>
          <w:sz w:val="28"/>
          <w:szCs w:val="28"/>
          <w14:textFill>
            <w14:solidFill>
              <w14:schemeClr w14:val="tx1"/>
            </w14:solidFill>
          </w14:textFill>
        </w:rPr>
        <w:br w:type="textWrapping"/>
      </w:r>
    </w:p>
    <w:p w14:paraId="7DE89F78">
      <w:pPr>
        <w:pStyle w:val="23"/>
        <w:jc w:val="center"/>
        <w:rPr>
          <w:rFonts w:hint="eastAsia" w:eastAsia="宋体"/>
          <w:b/>
          <w:bCs/>
          <w:lang w:eastAsia="zh-CN"/>
        </w:rPr>
      </w:pPr>
      <w:r>
        <w:drawing>
          <wp:inline distT="0" distB="0" distL="114300" distR="114300">
            <wp:extent cx="6119495" cy="2159635"/>
            <wp:effectExtent l="0" t="0" r="14605" b="12065"/>
            <wp:docPr id="1002" name="Picture 892767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 name="Picture 892767923"/>
                    <pic:cNvPicPr>
                      <a:picLocks noChangeAspect="1"/>
                    </pic:cNvPicPr>
                  </pic:nvPicPr>
                  <pic:blipFill>
                    <a:blip r:embed="rId9"/>
                    <a:stretch>
                      <a:fillRect/>
                    </a:stretch>
                  </pic:blipFill>
                  <pic:spPr>
                    <a:xfrm>
                      <a:off x="0" y="0"/>
                      <a:ext cx="6120000" cy="2160000"/>
                    </a:xfrm>
                    <a:prstGeom prst="rect">
                      <a:avLst/>
                    </a:prstGeom>
                  </pic:spPr>
                </pic:pic>
              </a:graphicData>
            </a:graphic>
          </wp:inline>
        </w:drawing>
      </w:r>
    </w:p>
    <w:p w14:paraId="603AC517">
      <w:pPr>
        <w:pStyle w:val="17"/>
        <w:rPr>
          <w:rFonts w:hint="eastAsia" w:ascii="微软雅黑" w:hAnsi="微软雅黑" w:eastAsia="微软雅黑" w:cs="微软雅黑"/>
          <w:sz w:val="28"/>
          <w:szCs w:val="28"/>
        </w:rPr>
      </w:pPr>
    </w:p>
    <w:p w14:paraId="49A7DEFE">
      <w:pPr>
        <w:pStyle w:val="23"/>
        <w:ind w:firstLine="560" w:firstLineChars="200"/>
        <w:rPr>
          <w:rFonts w:hint="eastAsia" w:ascii="微软雅黑" w:hAnsi="微软雅黑" w:eastAsia="微软雅黑"/>
          <w:color w:val="000000"/>
          <w:sz w:val="28"/>
          <w:szCs w:val="28"/>
        </w:rPr>
      </w:pPr>
      <w:r>
        <w:rPr>
          <w:rFonts w:hint="eastAsia" w:ascii="微软雅黑" w:hAnsi="微软雅黑" w:eastAsia="微软雅黑"/>
          <w:b/>
          <w:color w:val="000000"/>
          <w:sz w:val="28"/>
          <w:szCs w:val="28"/>
        </w:rPr>
        <w:t xml:space="preserve">抗体工作液配置 </w:t>
      </w:r>
      <w:r>
        <w:rPr>
          <w:rFonts w:ascii="微软雅黑" w:hAnsi="微软雅黑" w:eastAsia="微软雅黑"/>
          <w:b/>
          <w:color w:val="000000"/>
          <w:sz w:val="28"/>
          <w:szCs w:val="28"/>
        </w:rPr>
        <w:t>:</w:t>
      </w:r>
      <w:r>
        <w:rPr>
          <w:rFonts w:hint="eastAsia" w:ascii="微软雅黑" w:hAnsi="微软雅黑" w:eastAsia="微软雅黑"/>
          <w:color w:val="000000"/>
          <w:sz w:val="28"/>
          <w:szCs w:val="28"/>
        </w:rPr>
        <w:t xml:space="preserve"> 使用前10分钟，将100×生物素化抗体于</w:t>
      </w:r>
      <w:r>
        <w:rPr>
          <w:rFonts w:ascii="微软雅黑" w:hAnsi="微软雅黑" w:eastAsia="微软雅黑"/>
          <w:color w:val="000000"/>
          <w:sz w:val="28"/>
          <w:szCs w:val="28"/>
        </w:rPr>
        <w:t>1000</w:t>
      </w:r>
      <w:r>
        <w:rPr>
          <w:rFonts w:hint="eastAsia" w:ascii="微软雅黑" w:hAnsi="微软雅黑" w:eastAsia="微软雅黑"/>
          <w:color w:val="000000"/>
          <w:sz w:val="28"/>
          <w:szCs w:val="28"/>
        </w:rPr>
        <w:t>×</w:t>
      </w:r>
      <w:r>
        <w:rPr>
          <w:rFonts w:ascii="微软雅黑" w:hAnsi="微软雅黑" w:eastAsia="微软雅黑"/>
          <w:color w:val="000000"/>
          <w:sz w:val="28"/>
          <w:szCs w:val="28"/>
        </w:rPr>
        <w:t>g</w:t>
      </w:r>
      <w:r>
        <w:rPr>
          <w:rFonts w:hint="eastAsia" w:ascii="微软雅黑" w:hAnsi="微软雅黑" w:eastAsia="微软雅黑"/>
          <w:color w:val="000000"/>
          <w:sz w:val="28"/>
          <w:szCs w:val="28"/>
        </w:rPr>
        <w:t>离心1分钟，随后用1×稀释液将100×生物素化抗体稀释成1×生物素化抗体工作液，根据所需用量当日配置当日使用。</w:t>
      </w:r>
    </w:p>
    <w:p w14:paraId="482295BB">
      <w:pPr>
        <w:pStyle w:val="23"/>
        <w:ind w:firstLine="560" w:firstLineChars="200"/>
        <w:rPr>
          <w:sz w:val="28"/>
          <w:szCs w:val="28"/>
        </w:rPr>
      </w:pPr>
      <w:r>
        <w:rPr>
          <w:rFonts w:hint="eastAsia"/>
          <w:sz w:val="28"/>
          <w:szCs w:val="28"/>
        </w:rPr>
        <w:t xml:space="preserve"> </w:t>
      </w:r>
      <w:r>
        <w:rPr>
          <w:rFonts w:hint="eastAsia" w:ascii="微软雅黑" w:hAnsi="微软雅黑" w:eastAsia="微软雅黑"/>
          <w:b/>
          <w:color w:val="000000"/>
          <w:sz w:val="28"/>
          <w:szCs w:val="28"/>
        </w:rPr>
        <w:t xml:space="preserve">酶结合物工作液配置 : </w:t>
      </w:r>
      <w:r>
        <w:rPr>
          <w:rFonts w:hint="eastAsia" w:ascii="微软雅黑" w:hAnsi="微软雅黑" w:eastAsia="微软雅黑"/>
          <w:color w:val="000000"/>
          <w:sz w:val="28"/>
          <w:szCs w:val="28"/>
        </w:rPr>
        <w:t>使用前10分钟，将100×SA-HRP溶液于</w:t>
      </w:r>
      <w:r>
        <w:rPr>
          <w:rFonts w:ascii="微软雅黑" w:hAnsi="微软雅黑" w:eastAsia="微软雅黑"/>
          <w:color w:val="000000"/>
          <w:sz w:val="28"/>
          <w:szCs w:val="28"/>
        </w:rPr>
        <w:t>1000</w:t>
      </w:r>
      <w:r>
        <w:rPr>
          <w:rFonts w:hint="eastAsia" w:ascii="微软雅黑" w:hAnsi="微软雅黑" w:eastAsia="微软雅黑"/>
          <w:color w:val="000000"/>
          <w:sz w:val="28"/>
          <w:szCs w:val="28"/>
        </w:rPr>
        <w:t>×</w:t>
      </w:r>
      <w:r>
        <w:rPr>
          <w:rFonts w:ascii="微软雅黑" w:hAnsi="微软雅黑" w:eastAsia="微软雅黑"/>
          <w:color w:val="000000"/>
          <w:sz w:val="28"/>
          <w:szCs w:val="28"/>
        </w:rPr>
        <w:t>g</w:t>
      </w:r>
      <w:r>
        <w:rPr>
          <w:rFonts w:hint="eastAsia" w:ascii="微软雅黑" w:hAnsi="微软雅黑" w:eastAsia="微软雅黑"/>
          <w:color w:val="000000"/>
          <w:sz w:val="28"/>
          <w:szCs w:val="28"/>
        </w:rPr>
        <w:t>离心1分钟，随后用1×稀释液将100×SA-HRP稀释成1×SA-HRP工作液，根据所需用量配置。</w:t>
      </w:r>
    </w:p>
    <w:p w14:paraId="3D9F8375">
      <w:pPr>
        <w:pStyle w:val="23"/>
        <w:spacing w:after="240"/>
        <w:ind w:firstLine="560" w:firstLineChars="200"/>
        <w:rPr>
          <w:rFonts w:hint="eastAsia" w:eastAsia="微软雅黑"/>
          <w:lang w:val="en-US" w:eastAsia="zh-CN"/>
        </w:rPr>
      </w:pPr>
      <w:r>
        <w:rPr>
          <w:rFonts w:hint="eastAsia" w:ascii="微软雅黑" w:hAnsi="微软雅黑" w:eastAsia="微软雅黑"/>
          <w:b/>
          <w:color w:val="000000" w:themeColor="text1"/>
          <w:sz w:val="28"/>
          <w:szCs w:val="28"/>
          <w14:textFill>
            <w14:solidFill>
              <w14:schemeClr w14:val="tx1"/>
            </w14:solidFill>
          </w14:textFill>
        </w:rPr>
        <w:t>备注：</w:t>
      </w:r>
      <w:bookmarkStart w:id="9" w:name="_Toc164420464"/>
      <w:r>
        <w:rPr>
          <w:rFonts w:hint="eastAsia" w:ascii="微软雅黑" w:hAnsi="微软雅黑" w:eastAsia="微软雅黑"/>
          <w:color w:val="000000" w:themeColor="text1"/>
          <w:sz w:val="28"/>
          <w:szCs w:val="28"/>
          <w14:textFill>
            <w14:solidFill>
              <w14:schemeClr w14:val="tx1"/>
            </w14:solidFill>
          </w14:textFill>
        </w:rPr>
        <w:t>如待测样本中</w:t>
      </w:r>
      <w:r>
        <w:rPr>
          <w:rFonts w:hint="eastAsia" w:ascii="微软雅黑" w:hAnsi="微软雅黑" w:eastAsia="微软雅黑"/>
          <w:color w:val="000000" w:themeColor="text1"/>
          <w:sz w:val="28"/>
          <w:szCs w:val="28"/>
          <w:lang w:val="en-US" w:eastAsia="zh-CN"/>
          <w14:textFill>
            <w14:solidFill>
              <w14:schemeClr w14:val="tx1"/>
            </w14:solidFill>
          </w14:textFill>
        </w:rPr>
        <w:t>MMP-8</w:t>
      </w:r>
      <w:r>
        <w:rPr>
          <w:rFonts w:hint="eastAsia" w:ascii="微软雅黑" w:hAnsi="微软雅黑" w:eastAsia="微软雅黑"/>
          <w:color w:val="000000" w:themeColor="text1"/>
          <w:sz w:val="28"/>
          <w:szCs w:val="28"/>
          <w14:textFill>
            <w14:solidFill>
              <w14:schemeClr w14:val="tx1"/>
            </w14:solidFill>
          </w14:textFill>
        </w:rPr>
        <w:t>浓度高于标准品最高值，请根据实际情况选择适当的稀释倍数。</w:t>
      </w:r>
      <w:r>
        <w:rPr>
          <w:rFonts w:hint="eastAsia" w:ascii="微软雅黑" w:hAnsi="微软雅黑" w:eastAsia="微软雅黑"/>
          <w:color w:val="000000" w:themeColor="text1"/>
          <w:sz w:val="28"/>
          <w:szCs w:val="28"/>
          <w14:textFill>
            <w14:solidFill>
              <w14:schemeClr w14:val="tx1"/>
            </w14:solidFill>
          </w14:textFill>
        </w:rPr>
        <w:br w:type="textWrapping"/>
      </w:r>
    </w:p>
    <w:p w14:paraId="62A12271">
      <w:pPr>
        <w:pStyle w:val="10"/>
        <w:rPr>
          <w:rFonts w:hint="eastAsia"/>
          <w:color w:val="E46C0A" w:themeColor="accent6" w:themeShade="BF"/>
        </w:rPr>
      </w:pPr>
      <w:r>
        <w:rPr>
          <w:rFonts w:hint="eastAsia"/>
          <w:color w:val="auto"/>
          <w:u w:val="single"/>
        </w:rPr>
        <w:t>实验步骤</w:t>
      </w:r>
      <w:bookmarkEnd w:id="9"/>
    </w:p>
    <w:p w14:paraId="5AB3335F">
      <w:pPr>
        <w:rPr>
          <w:rFonts w:hint="eastAsia" w:ascii="微软雅黑" w:hAnsi="微软雅黑" w:eastAsia="微软雅黑" w:cs="微软雅黑"/>
          <w:b w:val="0"/>
          <w:bCs w:val="0"/>
          <w:color w:val="auto"/>
          <w:sz w:val="28"/>
          <w:szCs w:val="28"/>
        </w:rPr>
      </w:pPr>
      <w:r>
        <w:rPr>
          <w:rFonts w:hint="eastAsia" w:ascii="微软雅黑" w:hAnsi="微软雅黑" w:eastAsia="微软雅黑" w:cs="微软雅黑"/>
          <w:b/>
          <w:bCs/>
          <w:color w:val="auto"/>
          <w:sz w:val="28"/>
          <w:szCs w:val="28"/>
        </w:rPr>
        <w:t>所有标准品、样品建议复孔检测</w:t>
      </w:r>
      <w:bookmarkStart w:id="10" w:name="_Toc164420465"/>
    </w:p>
    <w:p w14:paraId="27C6BA0D">
      <w:pPr>
        <w:pStyle w:val="41"/>
        <w:numPr>
          <w:ilvl w:val="0"/>
          <w:numId w:val="2"/>
        </w:numPr>
        <w:ind w:left="720" w:leftChars="0" w:firstLineChars="0"/>
        <w:rPr>
          <w:rFonts w:hint="eastAsia" w:ascii="微软雅黑" w:hAnsi="微软雅黑" w:eastAsia="微软雅黑" w:cs="微软雅黑"/>
          <w:b w:val="0"/>
          <w:bCs w:val="0"/>
          <w:color w:val="auto"/>
          <w:sz w:val="28"/>
          <w:szCs w:val="28"/>
        </w:rPr>
      </w:pPr>
      <w:r>
        <w:rPr>
          <w:rFonts w:hint="eastAsia" w:ascii="微软雅黑" w:hAnsi="微软雅黑" w:eastAsia="微软雅黑" w:cs="微软雅黑"/>
          <w:b w:val="0"/>
          <w:bCs w:val="0"/>
          <w:color w:val="auto"/>
          <w:sz w:val="28"/>
          <w:szCs w:val="28"/>
        </w:rPr>
        <w:t>酶标板准备：确定试验所需要的孔数，取下未使用的酶标条放回装有干燥剂的铝箔袋。</w:t>
      </w:r>
    </w:p>
    <w:p w14:paraId="0DDC45D7">
      <w:pPr>
        <w:pStyle w:val="41"/>
        <w:numPr>
          <w:ilvl w:val="0"/>
          <w:numId w:val="2"/>
        </w:numPr>
        <w:ind w:left="720" w:leftChars="0" w:firstLineChars="0"/>
        <w:rPr>
          <w:rFonts w:hint="eastAsia" w:ascii="微软雅黑" w:hAnsi="微软雅黑" w:eastAsia="微软雅黑" w:cs="微软雅黑"/>
          <w:b w:val="0"/>
          <w:bCs w:val="0"/>
          <w:color w:val="auto"/>
          <w:sz w:val="28"/>
          <w:szCs w:val="28"/>
        </w:rPr>
      </w:pPr>
      <w:r>
        <w:rPr>
          <w:rFonts w:hint="eastAsia" w:ascii="微软雅黑" w:hAnsi="微软雅黑" w:eastAsia="微软雅黑" w:cs="微软雅黑"/>
          <w:b w:val="0"/>
          <w:bCs w:val="0"/>
          <w:color w:val="auto"/>
          <w:sz w:val="28"/>
          <w:szCs w:val="28"/>
        </w:rPr>
        <w:t>样本孵育：每孔分别加入100μL不同浓度的标准品以及预处理过的待测样品（建议样本用通用稀释液最少稀释1倍上样，目的是减少基质效应），盖上封板胶纸，37℃避光反应1 h。孵育结束后，每孔加入300μL 1×洗涤缓冲液，轻轻晃动30秒，甩干并在纸上拍干，以这种方式清洗3次。</w:t>
      </w:r>
    </w:p>
    <w:p w14:paraId="566FF6A9">
      <w:pPr>
        <w:pStyle w:val="41"/>
        <w:numPr>
          <w:ilvl w:val="0"/>
          <w:numId w:val="2"/>
        </w:numPr>
        <w:ind w:left="720" w:leftChars="0" w:firstLineChars="0"/>
        <w:rPr>
          <w:rFonts w:hint="eastAsia" w:ascii="微软雅黑" w:hAnsi="微软雅黑" w:eastAsia="微软雅黑" w:cs="微软雅黑"/>
          <w:b w:val="0"/>
          <w:bCs w:val="0"/>
          <w:color w:val="auto"/>
          <w:sz w:val="28"/>
          <w:szCs w:val="28"/>
        </w:rPr>
      </w:pPr>
      <w:r>
        <w:rPr>
          <w:rFonts w:hint="eastAsia" w:ascii="微软雅黑" w:hAnsi="微软雅黑" w:eastAsia="微软雅黑" w:cs="微软雅黑"/>
          <w:b w:val="0"/>
          <w:bCs w:val="0"/>
          <w:color w:val="auto"/>
          <w:sz w:val="28"/>
          <w:szCs w:val="28"/>
        </w:rPr>
        <w:t>抗体孵育：每孔加入100μL生物素化抗体工作液，轻轻混匀，盖上封板胶纸，37℃避光反应1h。孵育结束后，重复步骤2中的清洗方式清洗4次。</w:t>
      </w:r>
    </w:p>
    <w:p w14:paraId="20569C05">
      <w:pPr>
        <w:pStyle w:val="41"/>
        <w:numPr>
          <w:ilvl w:val="0"/>
          <w:numId w:val="2"/>
        </w:numPr>
        <w:ind w:left="720" w:leftChars="0" w:firstLineChars="0"/>
        <w:rPr>
          <w:rFonts w:hint="eastAsia" w:ascii="微软雅黑" w:hAnsi="微软雅黑" w:eastAsia="微软雅黑" w:cs="微软雅黑"/>
          <w:b w:val="0"/>
          <w:bCs w:val="0"/>
          <w:color w:val="auto"/>
          <w:sz w:val="28"/>
          <w:szCs w:val="28"/>
        </w:rPr>
      </w:pPr>
      <w:r>
        <w:rPr>
          <w:rFonts w:hint="eastAsia" w:ascii="微软雅黑" w:hAnsi="微软雅黑" w:eastAsia="微软雅黑" w:cs="微软雅黑"/>
          <w:b w:val="0"/>
          <w:bCs w:val="0"/>
          <w:color w:val="auto"/>
          <w:sz w:val="28"/>
          <w:szCs w:val="28"/>
        </w:rPr>
        <w:t>酶标孵育：每孔加入100μL 1×SA-HRP工作液，盖上封板胶纸，37℃避光反应30分钟，清洗4次，拍干。</w:t>
      </w:r>
    </w:p>
    <w:p w14:paraId="35AC3180">
      <w:pPr>
        <w:pStyle w:val="41"/>
        <w:numPr>
          <w:ilvl w:val="0"/>
          <w:numId w:val="2"/>
        </w:numPr>
        <w:ind w:left="720" w:leftChars="0" w:firstLineChars="0"/>
        <w:rPr>
          <w:rFonts w:hint="eastAsia" w:ascii="微软雅黑" w:hAnsi="微软雅黑" w:eastAsia="微软雅黑" w:cs="微软雅黑"/>
          <w:b w:val="0"/>
          <w:bCs w:val="0"/>
          <w:color w:val="auto"/>
          <w:sz w:val="28"/>
          <w:szCs w:val="28"/>
        </w:rPr>
      </w:pPr>
      <w:r>
        <w:rPr>
          <w:rFonts w:hint="eastAsia" w:ascii="微软雅黑" w:hAnsi="微软雅黑" w:eastAsia="微软雅黑" w:cs="微软雅黑"/>
          <w:b w:val="0"/>
          <w:bCs w:val="0"/>
          <w:color w:val="auto"/>
          <w:sz w:val="28"/>
          <w:szCs w:val="28"/>
        </w:rPr>
        <w:t>底物显色：每孔首先加入50μL显色液A，随后加入50μL显色液B，轻轻混匀，盖上封板胶纸，37℃避光反应15分钟。</w:t>
      </w:r>
    </w:p>
    <w:p w14:paraId="29F3D27E">
      <w:pPr>
        <w:pStyle w:val="41"/>
        <w:numPr>
          <w:ilvl w:val="0"/>
          <w:numId w:val="2"/>
        </w:numPr>
        <w:ind w:left="720" w:leftChars="0" w:firstLineChars="0"/>
        <w:rPr>
          <w:rFonts w:hint="eastAsia" w:ascii="微软雅黑" w:hAnsi="微软雅黑" w:eastAsia="微软雅黑" w:cs="微软雅黑"/>
          <w:b w:val="0"/>
          <w:bCs w:val="0"/>
          <w:color w:val="auto"/>
          <w:sz w:val="28"/>
          <w:szCs w:val="28"/>
        </w:rPr>
      </w:pPr>
      <w:r>
        <w:rPr>
          <w:rFonts w:hint="eastAsia" w:ascii="微软雅黑" w:hAnsi="微软雅黑" w:eastAsia="微软雅黑" w:cs="微软雅黑"/>
          <w:b w:val="0"/>
          <w:bCs w:val="0"/>
          <w:color w:val="auto"/>
          <w:sz w:val="28"/>
          <w:szCs w:val="28"/>
        </w:rPr>
        <w:t>终止反应：待显色反应结束后，每孔加入50μL终止液，轻轻混匀，5分钟内用预热完成的酶标仪在450nm处测吸光值。</w:t>
      </w:r>
    </w:p>
    <w:p w14:paraId="09DF0132">
      <w:pPr>
        <w:pStyle w:val="10"/>
        <w:rPr>
          <w:rFonts w:hint="eastAsia" w:ascii="微软雅黑" w:hAnsi="微软雅黑" w:eastAsia="微软雅黑" w:cs="微软雅黑"/>
          <w:b/>
          <w:bCs/>
          <w:color w:val="auto"/>
          <w:sz w:val="32"/>
          <w:szCs w:val="32"/>
          <w:u w:val="single"/>
        </w:rPr>
      </w:pPr>
      <w:r>
        <w:rPr>
          <w:rFonts w:hint="eastAsia" w:ascii="微软雅黑" w:hAnsi="微软雅黑" w:eastAsia="微软雅黑" w:cs="微软雅黑"/>
          <w:b/>
          <w:bCs/>
          <w:color w:val="auto"/>
          <w:sz w:val="32"/>
          <w:szCs w:val="32"/>
          <w:u w:val="single"/>
        </w:rPr>
        <w:t>结果的计算</w:t>
      </w:r>
      <w:bookmarkEnd w:id="10"/>
    </w:p>
    <w:p w14:paraId="4B3D9156">
      <w:pPr>
        <w:rPr>
          <w:rFonts w:hint="eastAsia" w:ascii="微软雅黑" w:hAnsi="微软雅黑" w:eastAsia="微软雅黑" w:cs="微软雅黑"/>
          <w:b w:val="0"/>
          <w:bCs w:val="0"/>
          <w:color w:val="auto"/>
          <w:sz w:val="28"/>
          <w:szCs w:val="28"/>
        </w:rPr>
      </w:pPr>
      <w:r>
        <w:rPr>
          <w:rFonts w:hint="eastAsia" w:ascii="微软雅黑" w:hAnsi="微软雅黑" w:eastAsia="微软雅黑" w:cs="微软雅黑"/>
          <w:b w:val="0"/>
          <w:bCs w:val="0"/>
          <w:color w:val="auto"/>
          <w:sz w:val="28"/>
          <w:szCs w:val="28"/>
        </w:rPr>
        <w:t>计算标准品和样本复孔的平均OD值并减去空白孔的OD值作为校正值。以浓度为横坐标，OD值为纵坐标，在坐标纸上绘出四参数逻辑函数的标准曲线(作图时去掉空白组的值)。或者使用能够生成四参数逻辑（4-P）曲线拟合的计算机软件来创建标准曲线。</w:t>
      </w:r>
    </w:p>
    <w:p w14:paraId="70DE7F0C">
      <w:pPr>
        <w:rPr>
          <w:rFonts w:hint="eastAsia" w:ascii="微软雅黑" w:hAnsi="微软雅黑" w:eastAsia="微软雅黑" w:cs="微软雅黑"/>
          <w:b w:val="0"/>
          <w:bCs w:val="0"/>
          <w:color w:val="auto"/>
          <w:sz w:val="28"/>
          <w:szCs w:val="28"/>
        </w:rPr>
      </w:pPr>
      <w:r>
        <w:rPr>
          <w:rFonts w:hint="eastAsia" w:ascii="微软雅黑" w:hAnsi="微软雅黑" w:eastAsia="微软雅黑" w:cs="微软雅黑"/>
          <w:b w:val="0"/>
          <w:bCs w:val="0"/>
          <w:color w:val="auto"/>
          <w:sz w:val="28"/>
          <w:szCs w:val="28"/>
        </w:rPr>
        <w:t>若样品OD值高于标准曲线上限，应适当稀释后重测并在计算样本浓度时乘以相应的稀释倍数。</w:t>
      </w:r>
      <w:bookmarkStart w:id="11" w:name="_Toc164420466"/>
    </w:p>
    <w:p w14:paraId="7DBB83B3">
      <w:pPr>
        <w:pStyle w:val="10"/>
        <w:rPr>
          <w:rFonts w:hint="eastAsia"/>
          <w:color w:val="558ED5" w:themeColor="text2" w:themeTint="99"/>
          <w14:textFill>
            <w14:solidFill>
              <w14:schemeClr w14:val="tx2">
                <w14:lumMod w14:val="60000"/>
                <w14:lumOff w14:val="40000"/>
              </w14:schemeClr>
            </w14:solidFill>
          </w14:textFill>
        </w:rPr>
      </w:pPr>
      <w:r>
        <w:rPr>
          <w:rFonts w:hint="eastAsia"/>
          <w:color w:val="auto"/>
          <w:u w:val="single"/>
        </w:rPr>
        <w:t>示例数据</w:t>
      </w:r>
      <w:bookmarkEnd w:id="11"/>
    </w:p>
    <w:p w14:paraId="1DB86C1B">
      <w:pPr>
        <w:rPr>
          <w:rFonts w:hint="eastAsia" w:ascii="微软雅黑" w:hAnsi="微软雅黑" w:eastAsia="微软雅黑" w:cs="微软雅黑"/>
          <w:b/>
          <w:bCs/>
          <w:color w:val="000000" w:themeColor="text1"/>
          <w:sz w:val="28"/>
          <w:szCs w:val="28"/>
          <w14:textFill>
            <w14:solidFill>
              <w14:schemeClr w14:val="tx1"/>
            </w14:solidFill>
          </w14:textFill>
        </w:rPr>
      </w:pPr>
      <w:r>
        <w:rPr>
          <w:rFonts w:hint="eastAsia" w:ascii="微软雅黑" w:hAnsi="微软雅黑" w:eastAsia="微软雅黑" w:cs="微软雅黑"/>
          <w:b/>
          <w:bCs/>
          <w:color w:val="000000" w:themeColor="text1"/>
          <w:sz w:val="28"/>
          <w:szCs w:val="28"/>
          <w14:textFill>
            <w14:solidFill>
              <w14:schemeClr w14:val="tx1"/>
            </w14:solidFill>
          </w14:textFill>
        </w:rPr>
        <w:t>以下数据和曲线仅供参考，实验者需根据自己的实验数据建立标准曲线。</w:t>
      </w:r>
    </w:p>
    <w:tbl>
      <w:tblPr>
        <w:tblStyle w:val="11"/>
        <w:tblW w:w="10818"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749"/>
        <w:gridCol w:w="1270"/>
        <w:gridCol w:w="1021"/>
        <w:gridCol w:w="1020"/>
        <w:gridCol w:w="1167"/>
        <w:gridCol w:w="1167"/>
        <w:gridCol w:w="1167"/>
        <w:gridCol w:w="1237"/>
        <w:gridCol w:w="1020"/>
      </w:tblGrid>
      <w:tr w14:paraId="293D4F5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16" w:hRule="atLeast"/>
          <w:jc w:val="center"/>
        </w:trPr>
        <w:tc>
          <w:tcPr>
            <w:tcW w:w="1749" w:type="dxa"/>
            <w:noWrap/>
            <w:vAlign w:val="center"/>
          </w:tcPr>
          <w:p w14:paraId="471807DF">
            <w:pPr>
              <w:jc w:val="center"/>
              <w:rPr>
                <w:rFonts w:hint="eastAsia" w:ascii="微软雅黑" w:hAnsi="微软雅黑" w:eastAsia="微软雅黑" w:cs="微软雅黑"/>
                <w:b w:val="0"/>
                <w:bCs w:val="0"/>
                <w:color w:val="000000" w:themeColor="text1"/>
                <w:sz w:val="24"/>
                <w:szCs w:val="24"/>
                <w14:textFill>
                  <w14:solidFill>
                    <w14:schemeClr w14:val="tx1"/>
                  </w14:solidFill>
                </w14:textFill>
              </w:rPr>
            </w:pPr>
            <w:bookmarkStart w:id="12" w:name="OLE_LINK3" w:colFirst="1" w:colLast="8"/>
            <w:r>
              <w:rPr>
                <w:rFonts w:hint="eastAsia" w:ascii="微软雅黑" w:hAnsi="微软雅黑" w:eastAsia="微软雅黑"/>
                <w:b w:val="0"/>
                <w:bCs w:val="0"/>
                <w:color w:val="auto"/>
                <w:sz w:val="24"/>
                <w:szCs w:val="24"/>
              </w:rPr>
              <w:t>标准品浓度</w:t>
            </w:r>
            <w:r>
              <w:rPr>
                <w:rFonts w:ascii="微软雅黑" w:hAnsi="微软雅黑" w:eastAsia="微软雅黑"/>
                <w:b w:val="0"/>
                <w:bCs w:val="0"/>
                <w:color w:val="auto"/>
                <w:sz w:val="24"/>
                <w:szCs w:val="24"/>
              </w:rPr>
              <w:t>(</w:t>
            </w:r>
            <w:r>
              <w:rPr>
                <w:rFonts w:hint="eastAsia" w:ascii="微软雅黑" w:hAnsi="微软雅黑" w:eastAsia="微软雅黑"/>
                <w:b w:val="0"/>
                <w:bCs w:val="0"/>
                <w:color w:val="auto"/>
                <w:sz w:val="24"/>
                <w:szCs w:val="24"/>
                <w:lang w:val="en-US" w:eastAsia="zh-CN"/>
              </w:rPr>
              <w:t>ng/mL</w:t>
            </w:r>
            <w:r>
              <w:rPr>
                <w:rFonts w:ascii="微软雅黑" w:hAnsi="微软雅黑" w:eastAsia="微软雅黑"/>
                <w:b w:val="0"/>
                <w:bCs w:val="0"/>
                <w:color w:val="auto"/>
                <w:sz w:val="24"/>
                <w:szCs w:val="24"/>
              </w:rPr>
              <w:t>)</w:t>
            </w:r>
          </w:p>
        </w:tc>
        <w:tc>
          <w:tcPr>
            <w:tcW w:w="1270" w:type="dxa"/>
            <w:noWrap/>
            <w:vAlign w:val="center"/>
          </w:tcPr>
          <w:p w14:paraId="7FF2DB76">
            <w:pPr>
              <w:jc w:val="center"/>
              <w:rPr>
                <w:rFonts w:hint="eastAsia" w:ascii="微软雅黑" w:hAnsi="微软雅黑" w:eastAsia="微软雅黑"/>
                <w:b w:val="0"/>
                <w:bCs w:val="0"/>
                <w:color w:val="auto"/>
                <w:sz w:val="24"/>
                <w:szCs w:val="24"/>
                <w:lang w:val="en-US" w:eastAsia="zh-CN"/>
              </w:rPr>
            </w:pPr>
            <w:r>
              <w:rPr>
                <w:rFonts w:hint="eastAsia" w:ascii="微软雅黑" w:hAnsi="微软雅黑" w:eastAsia="微软雅黑"/>
                <w:b w:val="0"/>
                <w:bCs w:val="0"/>
                <w:color w:val="auto"/>
                <w:sz w:val="24"/>
                <w:szCs w:val="24"/>
                <w:lang w:val="en-US" w:eastAsia="zh-CN"/>
              </w:rPr>
              <w:t>50</w:t>
            </w:r>
          </w:p>
        </w:tc>
        <w:tc>
          <w:tcPr>
            <w:tcW w:w="1021" w:type="dxa"/>
            <w:noWrap/>
            <w:vAlign w:val="center"/>
          </w:tcPr>
          <w:p w14:paraId="22DA3BD3">
            <w:pPr>
              <w:jc w:val="center"/>
              <w:rPr>
                <w:rFonts w:hint="eastAsia" w:ascii="微软雅黑" w:hAnsi="微软雅黑" w:eastAsia="微软雅黑"/>
                <w:b w:val="0"/>
                <w:bCs w:val="0"/>
                <w:color w:val="auto"/>
                <w:sz w:val="24"/>
                <w:szCs w:val="24"/>
                <w:lang w:val="en-US" w:eastAsia="zh-CN"/>
              </w:rPr>
            </w:pPr>
            <w:r>
              <w:rPr>
                <w:rFonts w:hint="eastAsia" w:ascii="微软雅黑" w:hAnsi="微软雅黑" w:eastAsia="微软雅黑"/>
                <w:b w:val="0"/>
                <w:bCs w:val="0"/>
                <w:color w:val="auto"/>
                <w:sz w:val="24"/>
                <w:szCs w:val="24"/>
                <w:lang w:val="en-US" w:eastAsia="zh-CN"/>
              </w:rPr>
              <w:t>25</w:t>
            </w:r>
          </w:p>
        </w:tc>
        <w:tc>
          <w:tcPr>
            <w:tcW w:w="1020" w:type="dxa"/>
            <w:noWrap/>
            <w:vAlign w:val="center"/>
          </w:tcPr>
          <w:p w14:paraId="2935CE2B">
            <w:pPr>
              <w:jc w:val="center"/>
              <w:rPr>
                <w:rFonts w:hint="eastAsia" w:ascii="微软雅黑" w:hAnsi="微软雅黑" w:eastAsia="微软雅黑"/>
                <w:b w:val="0"/>
                <w:bCs w:val="0"/>
                <w:color w:val="auto"/>
                <w:sz w:val="24"/>
                <w:szCs w:val="24"/>
                <w:lang w:val="en-US" w:eastAsia="zh-CN"/>
              </w:rPr>
            </w:pPr>
            <w:r>
              <w:rPr>
                <w:rFonts w:hint="eastAsia" w:ascii="微软雅黑" w:hAnsi="微软雅黑" w:eastAsia="微软雅黑"/>
                <w:b w:val="0"/>
                <w:bCs w:val="0"/>
                <w:color w:val="auto"/>
                <w:sz w:val="24"/>
                <w:szCs w:val="24"/>
                <w:lang w:val="en-US" w:eastAsia="zh-CN"/>
              </w:rPr>
              <w:t>12.5</w:t>
            </w:r>
          </w:p>
        </w:tc>
        <w:tc>
          <w:tcPr>
            <w:tcW w:w="1167" w:type="dxa"/>
            <w:noWrap/>
            <w:vAlign w:val="center"/>
          </w:tcPr>
          <w:p w14:paraId="10330A29">
            <w:pPr>
              <w:jc w:val="center"/>
              <w:rPr>
                <w:rFonts w:hint="eastAsia" w:ascii="微软雅黑" w:hAnsi="微软雅黑" w:eastAsia="微软雅黑"/>
                <w:b w:val="0"/>
                <w:bCs w:val="0"/>
                <w:color w:val="auto"/>
                <w:sz w:val="24"/>
                <w:szCs w:val="24"/>
                <w:lang w:val="en-US" w:eastAsia="zh-CN"/>
              </w:rPr>
            </w:pPr>
            <w:r>
              <w:rPr>
                <w:rFonts w:hint="eastAsia" w:ascii="微软雅黑" w:hAnsi="微软雅黑" w:eastAsia="微软雅黑"/>
                <w:b w:val="0"/>
                <w:bCs w:val="0"/>
                <w:color w:val="auto"/>
                <w:sz w:val="24"/>
                <w:szCs w:val="24"/>
                <w:lang w:val="en-US" w:eastAsia="zh-CN"/>
              </w:rPr>
              <w:t>6.25</w:t>
            </w:r>
          </w:p>
        </w:tc>
        <w:tc>
          <w:tcPr>
            <w:tcW w:w="1167" w:type="dxa"/>
            <w:noWrap/>
            <w:vAlign w:val="center"/>
          </w:tcPr>
          <w:p w14:paraId="111985C3">
            <w:pPr>
              <w:jc w:val="center"/>
              <w:rPr>
                <w:rFonts w:hint="eastAsia" w:ascii="微软雅黑" w:hAnsi="微软雅黑" w:eastAsia="微软雅黑"/>
                <w:b w:val="0"/>
                <w:bCs w:val="0"/>
                <w:color w:val="auto"/>
                <w:sz w:val="24"/>
                <w:szCs w:val="24"/>
                <w:lang w:val="en-US" w:eastAsia="zh-CN"/>
              </w:rPr>
            </w:pPr>
            <w:r>
              <w:rPr>
                <w:rFonts w:hint="eastAsia" w:ascii="微软雅黑" w:hAnsi="微软雅黑" w:eastAsia="微软雅黑"/>
                <w:b w:val="0"/>
                <w:bCs w:val="0"/>
                <w:color w:val="auto"/>
                <w:sz w:val="24"/>
                <w:szCs w:val="24"/>
                <w:lang w:val="en-US" w:eastAsia="zh-CN"/>
              </w:rPr>
              <w:t>3.125</w:t>
            </w:r>
          </w:p>
        </w:tc>
        <w:tc>
          <w:tcPr>
            <w:tcW w:w="1167" w:type="dxa"/>
            <w:noWrap/>
            <w:vAlign w:val="center"/>
          </w:tcPr>
          <w:p w14:paraId="1B2D4C87">
            <w:pPr>
              <w:jc w:val="center"/>
              <w:rPr>
                <w:rFonts w:hint="eastAsia" w:ascii="微软雅黑" w:hAnsi="微软雅黑" w:eastAsia="微软雅黑"/>
                <w:b w:val="0"/>
                <w:bCs w:val="0"/>
                <w:color w:val="auto"/>
                <w:sz w:val="24"/>
                <w:szCs w:val="24"/>
                <w:lang w:val="en-US" w:eastAsia="zh-CN"/>
              </w:rPr>
            </w:pPr>
            <w:r>
              <w:rPr>
                <w:rFonts w:hint="eastAsia" w:ascii="微软雅黑" w:hAnsi="微软雅黑" w:eastAsia="微软雅黑"/>
                <w:b w:val="0"/>
                <w:bCs w:val="0"/>
                <w:color w:val="auto"/>
                <w:sz w:val="24"/>
                <w:szCs w:val="24"/>
                <w:lang w:val="en-US" w:eastAsia="zh-CN"/>
              </w:rPr>
              <w:t>1.563</w:t>
            </w:r>
          </w:p>
        </w:tc>
        <w:tc>
          <w:tcPr>
            <w:tcW w:w="1237" w:type="dxa"/>
            <w:noWrap/>
            <w:vAlign w:val="center"/>
          </w:tcPr>
          <w:p w14:paraId="33DDA3D8">
            <w:pPr>
              <w:jc w:val="center"/>
              <w:rPr>
                <w:rFonts w:hint="eastAsia" w:ascii="微软雅黑" w:hAnsi="微软雅黑" w:eastAsia="微软雅黑"/>
                <w:b w:val="0"/>
                <w:bCs w:val="0"/>
                <w:color w:val="auto"/>
                <w:sz w:val="24"/>
                <w:szCs w:val="24"/>
                <w:lang w:val="en-US" w:eastAsia="zh-CN"/>
              </w:rPr>
            </w:pPr>
            <w:r>
              <w:rPr>
                <w:rFonts w:hint="eastAsia" w:ascii="微软雅黑" w:hAnsi="微软雅黑" w:eastAsia="微软雅黑"/>
                <w:b w:val="0"/>
                <w:bCs w:val="0"/>
                <w:color w:val="auto"/>
                <w:sz w:val="24"/>
                <w:szCs w:val="24"/>
                <w:lang w:val="en-US" w:eastAsia="zh-CN"/>
              </w:rPr>
              <w:t>0.781</w:t>
            </w:r>
          </w:p>
        </w:tc>
        <w:tc>
          <w:tcPr>
            <w:tcW w:w="1020" w:type="dxa"/>
            <w:noWrap/>
            <w:vAlign w:val="center"/>
          </w:tcPr>
          <w:p w14:paraId="58E37646">
            <w:pPr>
              <w:jc w:val="center"/>
              <w:rPr>
                <w:rFonts w:hint="eastAsia" w:ascii="微软雅黑" w:hAnsi="微软雅黑" w:eastAsia="微软雅黑"/>
                <w:b w:val="0"/>
                <w:bCs w:val="0"/>
                <w:color w:val="auto"/>
                <w:sz w:val="24"/>
                <w:szCs w:val="24"/>
                <w:lang w:val="en-US" w:eastAsia="zh-CN"/>
              </w:rPr>
            </w:pPr>
            <w:r>
              <w:rPr>
                <w:rFonts w:hint="eastAsia" w:ascii="微软雅黑" w:hAnsi="微软雅黑" w:eastAsia="微软雅黑"/>
                <w:b w:val="0"/>
                <w:bCs w:val="0"/>
                <w:color w:val="auto"/>
                <w:sz w:val="24"/>
                <w:szCs w:val="24"/>
                <w:lang w:val="en-US" w:eastAsia="zh-CN"/>
              </w:rPr>
              <w:t>0</w:t>
            </w:r>
          </w:p>
        </w:tc>
      </w:tr>
      <w:bookmarkEnd w:id="12"/>
      <w:tr w14:paraId="1E13A14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0" w:hRule="atLeast"/>
          <w:jc w:val="center"/>
        </w:trPr>
        <w:tc>
          <w:tcPr>
            <w:tcW w:w="1749" w:type="dxa"/>
            <w:noWrap/>
            <w:vAlign w:val="center"/>
          </w:tcPr>
          <w:p w14:paraId="3019BCBC">
            <w:pPr>
              <w:jc w:val="center"/>
              <w:rPr>
                <w:rFonts w:hint="eastAsia" w:ascii="微软雅黑" w:hAnsi="微软雅黑" w:eastAsia="微软雅黑" w:cs="微软雅黑"/>
                <w:b w:val="0"/>
                <w:bCs w:val="0"/>
                <w:color w:val="auto"/>
                <w:sz w:val="24"/>
                <w:szCs w:val="24"/>
              </w:rPr>
            </w:pPr>
            <w:bookmarkStart w:id="13" w:name="OLE_LINK2" w:colFirst="1" w:colLast="7"/>
            <w:r>
              <w:rPr>
                <w:rFonts w:ascii="微软雅黑" w:hAnsi="微软雅黑" w:eastAsia="微软雅黑"/>
                <w:b w:val="0"/>
                <w:bCs w:val="0"/>
                <w:color w:val="auto"/>
                <w:sz w:val="24"/>
                <w:szCs w:val="24"/>
              </w:rPr>
              <w:t>OD</w:t>
            </w:r>
            <w:r>
              <w:rPr>
                <w:rFonts w:hint="eastAsia" w:ascii="微软雅黑" w:hAnsi="微软雅黑" w:eastAsia="微软雅黑"/>
                <w:b w:val="0"/>
                <w:bCs w:val="0"/>
                <w:color w:val="auto"/>
                <w:sz w:val="24"/>
                <w:szCs w:val="24"/>
              </w:rPr>
              <w:t>值</w:t>
            </w:r>
          </w:p>
        </w:tc>
        <w:tc>
          <w:tcPr>
            <w:tcW w:w="1270" w:type="dxa"/>
            <w:noWrap/>
            <w:vAlign w:val="center"/>
          </w:tcPr>
          <w:p w14:paraId="666A4300">
            <w:pPr>
              <w:jc w:val="center"/>
              <w:rPr>
                <w:rFonts w:hint="eastAsia" w:ascii="微软雅黑" w:hAnsi="微软雅黑" w:eastAsia="微软雅黑"/>
                <w:b w:val="0"/>
                <w:bCs w:val="0"/>
                <w:color w:val="auto"/>
                <w:sz w:val="24"/>
                <w:szCs w:val="24"/>
                <w:lang w:val="en-US" w:eastAsia="zh-CN"/>
              </w:rPr>
            </w:pPr>
            <w:r>
              <w:rPr>
                <w:rFonts w:hint="eastAsia" w:ascii="微软雅黑" w:hAnsi="微软雅黑" w:eastAsia="微软雅黑"/>
                <w:b w:val="0"/>
                <w:bCs w:val="0"/>
                <w:color w:val="auto"/>
                <w:sz w:val="24"/>
                <w:szCs w:val="24"/>
                <w:lang w:val="en-US" w:eastAsia="zh-CN"/>
              </w:rPr>
              <w:t>2.516</w:t>
            </w:r>
          </w:p>
        </w:tc>
        <w:tc>
          <w:tcPr>
            <w:tcW w:w="1021" w:type="dxa"/>
            <w:noWrap/>
            <w:vAlign w:val="center"/>
          </w:tcPr>
          <w:p w14:paraId="15993483">
            <w:pPr>
              <w:jc w:val="center"/>
              <w:rPr>
                <w:rFonts w:hint="eastAsia" w:ascii="微软雅黑" w:hAnsi="微软雅黑" w:eastAsia="微软雅黑"/>
                <w:b w:val="0"/>
                <w:bCs w:val="0"/>
                <w:color w:val="auto"/>
                <w:sz w:val="24"/>
                <w:szCs w:val="24"/>
                <w:lang w:val="en-US" w:eastAsia="zh-CN"/>
              </w:rPr>
            </w:pPr>
            <w:r>
              <w:rPr>
                <w:rFonts w:hint="eastAsia" w:ascii="微软雅黑" w:hAnsi="微软雅黑" w:eastAsia="微软雅黑"/>
                <w:b w:val="0"/>
                <w:bCs w:val="0"/>
                <w:color w:val="auto"/>
                <w:sz w:val="24"/>
                <w:szCs w:val="24"/>
                <w:lang w:val="en-US" w:eastAsia="zh-CN"/>
              </w:rPr>
              <w:t>1.752</w:t>
            </w:r>
          </w:p>
        </w:tc>
        <w:tc>
          <w:tcPr>
            <w:tcW w:w="1020" w:type="dxa"/>
            <w:noWrap/>
            <w:vAlign w:val="center"/>
          </w:tcPr>
          <w:p w14:paraId="31805371">
            <w:pPr>
              <w:jc w:val="center"/>
              <w:rPr>
                <w:rFonts w:hint="eastAsia" w:ascii="微软雅黑" w:hAnsi="微软雅黑" w:eastAsia="微软雅黑"/>
                <w:b w:val="0"/>
                <w:bCs w:val="0"/>
                <w:color w:val="auto"/>
                <w:sz w:val="24"/>
                <w:szCs w:val="24"/>
                <w:lang w:val="en-US" w:eastAsia="zh-CN"/>
              </w:rPr>
            </w:pPr>
            <w:r>
              <w:rPr>
                <w:rFonts w:hint="eastAsia" w:ascii="微软雅黑" w:hAnsi="微软雅黑" w:eastAsia="微软雅黑"/>
                <w:b w:val="0"/>
                <w:bCs w:val="0"/>
                <w:color w:val="auto"/>
                <w:sz w:val="24"/>
                <w:szCs w:val="24"/>
                <w:lang w:val="en-US" w:eastAsia="zh-CN"/>
              </w:rPr>
              <w:t>1.028</w:t>
            </w:r>
          </w:p>
        </w:tc>
        <w:tc>
          <w:tcPr>
            <w:tcW w:w="1167" w:type="dxa"/>
            <w:noWrap/>
            <w:vAlign w:val="center"/>
          </w:tcPr>
          <w:p w14:paraId="230DE554">
            <w:pPr>
              <w:jc w:val="center"/>
              <w:rPr>
                <w:rFonts w:hint="eastAsia" w:ascii="微软雅黑" w:hAnsi="微软雅黑" w:eastAsia="微软雅黑"/>
                <w:b w:val="0"/>
                <w:bCs w:val="0"/>
                <w:color w:val="auto"/>
                <w:sz w:val="24"/>
                <w:szCs w:val="24"/>
                <w:lang w:val="en-US" w:eastAsia="zh-CN"/>
              </w:rPr>
            </w:pPr>
            <w:r>
              <w:rPr>
                <w:rFonts w:hint="eastAsia" w:ascii="微软雅黑" w:hAnsi="微软雅黑" w:eastAsia="微软雅黑"/>
                <w:b w:val="0"/>
                <w:bCs w:val="0"/>
                <w:color w:val="auto"/>
                <w:sz w:val="24"/>
                <w:szCs w:val="24"/>
                <w:lang w:val="en-US" w:eastAsia="zh-CN"/>
              </w:rPr>
              <w:t>0.771</w:t>
            </w:r>
          </w:p>
        </w:tc>
        <w:tc>
          <w:tcPr>
            <w:tcW w:w="1167" w:type="dxa"/>
            <w:noWrap/>
            <w:vAlign w:val="center"/>
          </w:tcPr>
          <w:p w14:paraId="672381BC">
            <w:pPr>
              <w:jc w:val="center"/>
              <w:rPr>
                <w:rFonts w:hint="eastAsia" w:ascii="微软雅黑" w:hAnsi="微软雅黑" w:eastAsia="微软雅黑"/>
                <w:b w:val="0"/>
                <w:bCs w:val="0"/>
                <w:color w:val="auto"/>
                <w:sz w:val="24"/>
                <w:szCs w:val="24"/>
                <w:lang w:val="en-US" w:eastAsia="zh-CN"/>
              </w:rPr>
            </w:pPr>
            <w:r>
              <w:rPr>
                <w:rFonts w:hint="eastAsia" w:ascii="微软雅黑" w:hAnsi="微软雅黑" w:eastAsia="微软雅黑"/>
                <w:b w:val="0"/>
                <w:bCs w:val="0"/>
                <w:color w:val="auto"/>
                <w:sz w:val="24"/>
                <w:szCs w:val="24"/>
                <w:lang w:val="en-US" w:eastAsia="zh-CN"/>
              </w:rPr>
              <w:t>0.393</w:t>
            </w:r>
          </w:p>
        </w:tc>
        <w:tc>
          <w:tcPr>
            <w:tcW w:w="1167" w:type="dxa"/>
            <w:noWrap/>
            <w:vAlign w:val="center"/>
          </w:tcPr>
          <w:p w14:paraId="5834E84E">
            <w:pPr>
              <w:jc w:val="center"/>
              <w:rPr>
                <w:rFonts w:hint="eastAsia" w:ascii="微软雅黑" w:hAnsi="微软雅黑" w:eastAsia="微软雅黑"/>
                <w:b w:val="0"/>
                <w:bCs w:val="0"/>
                <w:color w:val="auto"/>
                <w:sz w:val="24"/>
                <w:szCs w:val="24"/>
                <w:lang w:val="en-US" w:eastAsia="zh-CN"/>
              </w:rPr>
            </w:pPr>
            <w:r>
              <w:rPr>
                <w:rFonts w:hint="eastAsia" w:ascii="微软雅黑" w:hAnsi="微软雅黑" w:eastAsia="微软雅黑"/>
                <w:b w:val="0"/>
                <w:bCs w:val="0"/>
                <w:color w:val="auto"/>
                <w:sz w:val="24"/>
                <w:szCs w:val="24"/>
                <w:lang w:val="en-US" w:eastAsia="zh-CN"/>
              </w:rPr>
              <w:t>0.225</w:t>
            </w:r>
          </w:p>
        </w:tc>
        <w:tc>
          <w:tcPr>
            <w:tcW w:w="1237" w:type="dxa"/>
            <w:noWrap/>
            <w:vAlign w:val="center"/>
          </w:tcPr>
          <w:p w14:paraId="00C0DE78">
            <w:pPr>
              <w:jc w:val="center"/>
              <w:rPr>
                <w:rFonts w:hint="eastAsia" w:ascii="微软雅黑" w:hAnsi="微软雅黑" w:eastAsia="微软雅黑"/>
                <w:b w:val="0"/>
                <w:bCs w:val="0"/>
                <w:color w:val="auto"/>
                <w:sz w:val="24"/>
                <w:szCs w:val="24"/>
                <w:lang w:val="en-US" w:eastAsia="zh-CN"/>
              </w:rPr>
            </w:pPr>
            <w:r>
              <w:rPr>
                <w:rFonts w:hint="eastAsia" w:ascii="微软雅黑" w:hAnsi="微软雅黑" w:eastAsia="微软雅黑"/>
                <w:b w:val="0"/>
                <w:bCs w:val="0"/>
                <w:color w:val="auto"/>
                <w:sz w:val="24"/>
                <w:szCs w:val="24"/>
                <w:lang w:val="en-US" w:eastAsia="zh-CN"/>
              </w:rPr>
              <w:t>0.126</w:t>
            </w:r>
          </w:p>
        </w:tc>
        <w:tc>
          <w:tcPr>
            <w:tcW w:w="1020" w:type="dxa"/>
            <w:noWrap/>
            <w:vAlign w:val="center"/>
          </w:tcPr>
          <w:p w14:paraId="022344D0">
            <w:pPr>
              <w:jc w:val="center"/>
              <w:rPr>
                <w:rFonts w:hint="eastAsia" w:ascii="微软雅黑" w:hAnsi="微软雅黑" w:eastAsia="微软雅黑"/>
                <w:b w:val="0"/>
                <w:bCs w:val="0"/>
                <w:color w:val="auto"/>
                <w:sz w:val="24"/>
                <w:szCs w:val="24"/>
                <w:lang w:val="en-US" w:eastAsia="zh-CN"/>
              </w:rPr>
            </w:pPr>
            <w:r>
              <w:rPr>
                <w:rFonts w:hint="eastAsia" w:ascii="微软雅黑" w:hAnsi="微软雅黑" w:eastAsia="微软雅黑"/>
                <w:b w:val="0"/>
                <w:bCs w:val="0"/>
                <w:color w:val="auto"/>
                <w:sz w:val="24"/>
                <w:szCs w:val="24"/>
                <w:lang w:val="en-US" w:eastAsia="zh-CN"/>
              </w:rPr>
              <w:t>0.056</w:t>
            </w:r>
          </w:p>
        </w:tc>
      </w:tr>
      <w:tr w14:paraId="2FFAEE8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99" w:hRule="atLeast"/>
          <w:jc w:val="center"/>
        </w:trPr>
        <w:tc>
          <w:tcPr>
            <w:tcW w:w="1749" w:type="dxa"/>
            <w:noWrap/>
            <w:vAlign w:val="center"/>
          </w:tcPr>
          <w:p w14:paraId="721EEB3B">
            <w:pPr>
              <w:jc w:val="center"/>
              <w:rPr>
                <w:rFonts w:hint="eastAsia" w:ascii="微软雅黑" w:hAnsi="微软雅黑" w:eastAsia="微软雅黑" w:cs="微软雅黑"/>
                <w:b w:val="0"/>
                <w:bCs w:val="0"/>
                <w:color w:val="auto"/>
                <w:sz w:val="24"/>
                <w:szCs w:val="24"/>
              </w:rPr>
            </w:pPr>
            <w:bookmarkStart w:id="14" w:name="_Hlk184659219"/>
            <w:bookmarkStart w:id="15" w:name="OLE_LINK4" w:colFirst="1" w:colLast="8"/>
            <w:r>
              <w:rPr>
                <w:rFonts w:hint="eastAsia" w:ascii="微软雅黑" w:hAnsi="微软雅黑" w:eastAsia="微软雅黑"/>
                <w:b w:val="0"/>
                <w:bCs w:val="0"/>
                <w:color w:val="auto"/>
                <w:sz w:val="24"/>
                <w:szCs w:val="24"/>
              </w:rPr>
              <w:t>校正</w:t>
            </w:r>
            <w:r>
              <w:rPr>
                <w:rFonts w:ascii="微软雅黑" w:hAnsi="微软雅黑" w:eastAsia="微软雅黑"/>
                <w:b w:val="0"/>
                <w:bCs w:val="0"/>
                <w:color w:val="auto"/>
                <w:sz w:val="24"/>
                <w:szCs w:val="24"/>
              </w:rPr>
              <w:t>OD</w:t>
            </w:r>
            <w:r>
              <w:rPr>
                <w:rFonts w:hint="eastAsia" w:ascii="微软雅黑" w:hAnsi="微软雅黑" w:eastAsia="微软雅黑"/>
                <w:b w:val="0"/>
                <w:bCs w:val="0"/>
                <w:color w:val="auto"/>
                <w:sz w:val="24"/>
                <w:szCs w:val="24"/>
              </w:rPr>
              <w:t>值</w:t>
            </w:r>
          </w:p>
        </w:tc>
        <w:tc>
          <w:tcPr>
            <w:tcW w:w="1270" w:type="dxa"/>
            <w:noWrap/>
            <w:vAlign w:val="center"/>
          </w:tcPr>
          <w:p w14:paraId="27331E19">
            <w:pPr>
              <w:jc w:val="center"/>
              <w:rPr>
                <w:rFonts w:hint="eastAsia" w:ascii="微软雅黑" w:hAnsi="微软雅黑" w:eastAsia="微软雅黑"/>
                <w:b w:val="0"/>
                <w:bCs w:val="0"/>
                <w:color w:val="auto"/>
                <w:sz w:val="24"/>
                <w:szCs w:val="24"/>
                <w:lang w:val="en-US" w:eastAsia="zh-CN"/>
              </w:rPr>
            </w:pPr>
            <w:r>
              <w:rPr>
                <w:rFonts w:hint="eastAsia" w:ascii="微软雅黑" w:hAnsi="微软雅黑" w:eastAsia="微软雅黑"/>
                <w:b w:val="0"/>
                <w:bCs w:val="0"/>
                <w:color w:val="auto"/>
                <w:sz w:val="24"/>
                <w:szCs w:val="24"/>
                <w:lang w:val="en-US" w:eastAsia="zh-CN"/>
              </w:rPr>
              <w:t>2.46</w:t>
            </w:r>
          </w:p>
        </w:tc>
        <w:tc>
          <w:tcPr>
            <w:tcW w:w="1021" w:type="dxa"/>
            <w:noWrap/>
            <w:vAlign w:val="center"/>
          </w:tcPr>
          <w:p w14:paraId="6F167747">
            <w:pPr>
              <w:jc w:val="center"/>
              <w:rPr>
                <w:rFonts w:hint="eastAsia" w:ascii="微软雅黑" w:hAnsi="微软雅黑" w:eastAsia="微软雅黑"/>
                <w:b w:val="0"/>
                <w:bCs w:val="0"/>
                <w:color w:val="auto"/>
                <w:sz w:val="24"/>
                <w:szCs w:val="24"/>
                <w:lang w:val="en-US" w:eastAsia="zh-CN"/>
              </w:rPr>
            </w:pPr>
            <w:r>
              <w:rPr>
                <w:rFonts w:hint="eastAsia" w:ascii="微软雅黑" w:hAnsi="微软雅黑" w:eastAsia="微软雅黑"/>
                <w:b w:val="0"/>
                <w:bCs w:val="0"/>
                <w:color w:val="auto"/>
                <w:sz w:val="24"/>
                <w:szCs w:val="24"/>
                <w:lang w:val="en-US" w:eastAsia="zh-CN"/>
              </w:rPr>
              <w:t>1.696</w:t>
            </w:r>
          </w:p>
        </w:tc>
        <w:tc>
          <w:tcPr>
            <w:tcW w:w="1020" w:type="dxa"/>
            <w:noWrap/>
            <w:vAlign w:val="center"/>
          </w:tcPr>
          <w:p w14:paraId="4BEAC299">
            <w:pPr>
              <w:jc w:val="center"/>
              <w:rPr>
                <w:rFonts w:hint="eastAsia" w:ascii="微软雅黑" w:hAnsi="微软雅黑" w:eastAsia="微软雅黑"/>
                <w:b w:val="0"/>
                <w:bCs w:val="0"/>
                <w:color w:val="auto"/>
                <w:sz w:val="24"/>
                <w:szCs w:val="24"/>
                <w:lang w:val="en-US" w:eastAsia="zh-CN"/>
              </w:rPr>
            </w:pPr>
            <w:r>
              <w:rPr>
                <w:rFonts w:hint="eastAsia" w:ascii="微软雅黑" w:hAnsi="微软雅黑" w:eastAsia="微软雅黑"/>
                <w:b w:val="0"/>
                <w:bCs w:val="0"/>
                <w:color w:val="auto"/>
                <w:sz w:val="24"/>
                <w:szCs w:val="24"/>
                <w:lang w:val="en-US" w:eastAsia="zh-CN"/>
              </w:rPr>
              <w:t>0.972</w:t>
            </w:r>
          </w:p>
        </w:tc>
        <w:tc>
          <w:tcPr>
            <w:tcW w:w="1167" w:type="dxa"/>
            <w:noWrap/>
            <w:vAlign w:val="center"/>
          </w:tcPr>
          <w:p w14:paraId="08383F54">
            <w:pPr>
              <w:jc w:val="center"/>
              <w:rPr>
                <w:rFonts w:hint="eastAsia" w:ascii="微软雅黑" w:hAnsi="微软雅黑" w:eastAsia="微软雅黑"/>
                <w:b w:val="0"/>
                <w:bCs w:val="0"/>
                <w:color w:val="auto"/>
                <w:sz w:val="24"/>
                <w:szCs w:val="24"/>
                <w:lang w:val="en-US" w:eastAsia="zh-CN"/>
              </w:rPr>
            </w:pPr>
            <w:r>
              <w:rPr>
                <w:rFonts w:hint="eastAsia" w:ascii="微软雅黑" w:hAnsi="微软雅黑" w:eastAsia="微软雅黑"/>
                <w:b w:val="0"/>
                <w:bCs w:val="0"/>
                <w:color w:val="auto"/>
                <w:sz w:val="24"/>
                <w:szCs w:val="24"/>
                <w:lang w:val="en-US" w:eastAsia="zh-CN"/>
              </w:rPr>
              <w:t>0.715</w:t>
            </w:r>
          </w:p>
        </w:tc>
        <w:tc>
          <w:tcPr>
            <w:tcW w:w="1167" w:type="dxa"/>
            <w:noWrap/>
            <w:vAlign w:val="center"/>
          </w:tcPr>
          <w:p w14:paraId="70E22186">
            <w:pPr>
              <w:jc w:val="center"/>
              <w:rPr>
                <w:rFonts w:hint="eastAsia" w:ascii="微软雅黑" w:hAnsi="微软雅黑" w:eastAsia="微软雅黑"/>
                <w:b w:val="0"/>
                <w:bCs w:val="0"/>
                <w:color w:val="auto"/>
                <w:sz w:val="24"/>
                <w:szCs w:val="24"/>
                <w:lang w:val="en-US" w:eastAsia="zh-CN"/>
              </w:rPr>
            </w:pPr>
            <w:r>
              <w:rPr>
                <w:rFonts w:hint="eastAsia" w:ascii="微软雅黑" w:hAnsi="微软雅黑" w:eastAsia="微软雅黑"/>
                <w:b w:val="0"/>
                <w:bCs w:val="0"/>
                <w:color w:val="auto"/>
                <w:sz w:val="24"/>
                <w:szCs w:val="24"/>
                <w:lang w:val="en-US" w:eastAsia="zh-CN"/>
              </w:rPr>
              <w:t>0.337</w:t>
            </w:r>
          </w:p>
        </w:tc>
        <w:tc>
          <w:tcPr>
            <w:tcW w:w="1167" w:type="dxa"/>
            <w:noWrap/>
            <w:vAlign w:val="center"/>
          </w:tcPr>
          <w:p w14:paraId="2E2D11BC">
            <w:pPr>
              <w:jc w:val="center"/>
              <w:rPr>
                <w:rFonts w:hint="eastAsia" w:ascii="微软雅黑" w:hAnsi="微软雅黑" w:eastAsia="微软雅黑"/>
                <w:b w:val="0"/>
                <w:bCs w:val="0"/>
                <w:color w:val="auto"/>
                <w:sz w:val="24"/>
                <w:szCs w:val="24"/>
                <w:lang w:val="en-US" w:eastAsia="zh-CN"/>
              </w:rPr>
            </w:pPr>
            <w:r>
              <w:rPr>
                <w:rFonts w:hint="eastAsia" w:ascii="微软雅黑" w:hAnsi="微软雅黑" w:eastAsia="微软雅黑"/>
                <w:b w:val="0"/>
                <w:bCs w:val="0"/>
                <w:color w:val="auto"/>
                <w:sz w:val="24"/>
                <w:szCs w:val="24"/>
                <w:lang w:val="en-US" w:eastAsia="zh-CN"/>
              </w:rPr>
              <w:t>0.169</w:t>
            </w:r>
          </w:p>
        </w:tc>
        <w:tc>
          <w:tcPr>
            <w:tcW w:w="1237" w:type="dxa"/>
            <w:noWrap/>
            <w:vAlign w:val="center"/>
          </w:tcPr>
          <w:p w14:paraId="120E1D1C">
            <w:pPr>
              <w:jc w:val="center"/>
              <w:rPr>
                <w:rFonts w:hint="eastAsia" w:ascii="微软雅黑" w:hAnsi="微软雅黑" w:eastAsia="微软雅黑"/>
                <w:b w:val="0"/>
                <w:bCs w:val="0"/>
                <w:color w:val="auto"/>
                <w:sz w:val="24"/>
                <w:szCs w:val="24"/>
                <w:lang w:val="en-US" w:eastAsia="zh-CN"/>
              </w:rPr>
            </w:pPr>
            <w:r>
              <w:rPr>
                <w:rFonts w:hint="eastAsia" w:ascii="微软雅黑" w:hAnsi="微软雅黑" w:eastAsia="微软雅黑"/>
                <w:b w:val="0"/>
                <w:bCs w:val="0"/>
                <w:color w:val="auto"/>
                <w:sz w:val="24"/>
                <w:szCs w:val="24"/>
                <w:lang w:val="en-US" w:eastAsia="zh-CN"/>
              </w:rPr>
              <w:t>0.07</w:t>
            </w:r>
          </w:p>
        </w:tc>
        <w:tc>
          <w:tcPr>
            <w:tcW w:w="1020" w:type="dxa"/>
            <w:noWrap/>
            <w:vAlign w:val="center"/>
          </w:tcPr>
          <w:p w14:paraId="427F7D69">
            <w:pPr>
              <w:jc w:val="center"/>
              <w:rPr>
                <w:rFonts w:hint="eastAsia" w:ascii="微软雅黑" w:hAnsi="微软雅黑" w:eastAsia="微软雅黑"/>
                <w:b w:val="0"/>
                <w:bCs w:val="0"/>
                <w:color w:val="auto"/>
                <w:sz w:val="24"/>
                <w:szCs w:val="24"/>
                <w:lang w:val="en-US" w:eastAsia="zh-CN"/>
              </w:rPr>
            </w:pPr>
            <w:r>
              <w:rPr>
                <w:rFonts w:hint="eastAsia" w:ascii="微软雅黑" w:hAnsi="微软雅黑" w:eastAsia="微软雅黑"/>
                <w:b w:val="0"/>
                <w:bCs w:val="0"/>
                <w:color w:val="auto"/>
                <w:sz w:val="24"/>
                <w:szCs w:val="24"/>
                <w:lang w:val="en-US" w:eastAsia="zh-CN"/>
              </w:rPr>
              <w:t>0.0</w:t>
            </w:r>
          </w:p>
        </w:tc>
      </w:tr>
      <w:bookmarkEnd w:id="13"/>
      <w:bookmarkEnd w:id="14"/>
      <w:bookmarkEnd w:id="15"/>
    </w:tbl>
    <w:p w14:paraId="35A7CCCA">
      <w:pPr>
        <w:jc w:val="center"/>
        <w:rPr>
          <w:b w:val="0"/>
          <w:bCs w:val="0"/>
          <w:color w:val="E46C0A" w:themeColor="accent6" w:themeShade="BF"/>
        </w:rPr>
      </w:pPr>
      <w:bookmarkStart w:id="16" w:name="_Toc164420467"/>
      <w:r>
        <w:rPr>
          <w:rFonts w:hint="eastAsia"/>
          <w:color w:val="E46C0A" w:themeColor="accent6" w:themeShade="BF"/>
        </w:rPr>
        <w:br w:type="textWrapping"/>
      </w:r>
      <w:r>
        <w:rPr>
          <w:rFonts w:hint="eastAsia"/>
          <w:color w:val="E46C0A" w:themeColor="accent6" w:themeShade="BF"/>
        </w:rPr>
        <w:br w:type="textWrapping"/>
      </w:r>
      <w:r>
        <w:rPr>
          <w:rFonts w:hint="eastAsia"/>
          <w:color w:val="E46C0A" w:themeColor="accent6" w:themeShade="BF"/>
          <w:lang w:val="en-US" w:eastAsia="zh-CN"/>
        </w:rPr>
        <w:t xml:space="preserve"> </w:t>
      </w:r>
      <w:bookmarkStart w:id="22" w:name="_GoBack"/>
      <w:r>
        <w:drawing>
          <wp:inline distT="0" distB="0" distL="114300" distR="114300">
            <wp:extent cx="3599815" cy="2699385"/>
            <wp:effectExtent l="0" t="0" r="635" b="5715"/>
            <wp:docPr id="1003" name="Picture 892767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 name="Picture 892767923"/>
                    <pic:cNvPicPr>
                      <a:picLocks noChangeAspect="1"/>
                    </pic:cNvPicPr>
                  </pic:nvPicPr>
                  <pic:blipFill>
                    <a:blip r:embed="rId10"/>
                    <a:stretch>
                      <a:fillRect/>
                    </a:stretch>
                  </pic:blipFill>
                  <pic:spPr>
                    <a:xfrm>
                      <a:off x="0" y="0"/>
                      <a:ext cx="3600000" cy="2700000"/>
                    </a:xfrm>
                    <a:prstGeom prst="rect">
                      <a:avLst/>
                    </a:prstGeom>
                  </pic:spPr>
                </pic:pic>
              </a:graphicData>
            </a:graphic>
          </wp:inline>
        </w:drawing>
      </w:r>
      <w:bookmarkEnd w:id="22"/>
    </w:p>
    <w:bookmarkEnd w:id="16"/>
    <w:p w14:paraId="642AC82B">
      <w:pPr>
        <w:pStyle w:val="28"/>
        <w:ind w:firstLine="2801" w:firstLineChars="1000"/>
        <w:jc w:val="left"/>
        <w:rPr>
          <w:rFonts w:hint="eastAsia"/>
        </w:rPr>
      </w:pPr>
      <w:r>
        <w:rPr>
          <w:rFonts w:hint="eastAsia"/>
          <w:b/>
          <w:bCs w:val="0"/>
        </w:rPr>
        <w:br w:type="textWrapping"/>
      </w:r>
      <w:r>
        <w:rPr>
          <w:rFonts w:hint="eastAsia"/>
          <w:b/>
          <w:bCs w:val="0"/>
        </w:rPr>
        <w:t>本图所示标准曲线仅供示例，结果计算应以同次试验标准品所绘标准曲线为准计算样本结果。</w:t>
      </w:r>
    </w:p>
    <w:p w14:paraId="141CC942">
      <w:pPr>
        <w:pStyle w:val="10"/>
        <w:rPr>
          <w:rFonts w:hint="eastAsia"/>
          <w:color w:val="auto"/>
          <w:u w:val="single"/>
        </w:rPr>
      </w:pPr>
      <w:r>
        <w:rPr>
          <w:rFonts w:hint="eastAsia"/>
          <w:color w:val="auto"/>
          <w:u w:val="single"/>
        </w:rPr>
        <w:t>重复性</w:t>
      </w:r>
    </w:p>
    <w:p w14:paraId="4D999860">
      <w:pPr>
        <w:pStyle w:val="10"/>
        <w:rPr>
          <w:rFonts w:hint="eastAsia"/>
          <w:color w:val="558ED5" w:themeColor="text2" w:themeTint="99"/>
          <w14:textFill>
            <w14:solidFill>
              <w14:schemeClr w14:val="tx2">
                <w14:lumMod w14:val="60000"/>
                <w14:lumOff w14:val="40000"/>
              </w14:schemeClr>
            </w14:solidFill>
          </w14:textFill>
        </w:rPr>
      </w:pPr>
      <w:bookmarkStart w:id="17" w:name="_Toc164420468"/>
      <w:r>
        <w:rPr>
          <w:rFonts w:hint="eastAsia"/>
          <w:b w:val="0"/>
          <w:bCs w:val="0"/>
          <w:color w:val="auto"/>
          <w:sz w:val="28"/>
          <w:szCs w:val="28"/>
        </w:rPr>
        <w:t>板内变异系数小于10%，板间变异系数小于10%。</w:t>
      </w:r>
      <w:r>
        <w:rPr>
          <w:rFonts w:hint="eastAsia"/>
          <w:b w:val="0"/>
          <w:bCs w:val="0"/>
          <w:color w:val="auto"/>
          <w:sz w:val="28"/>
          <w:szCs w:val="28"/>
        </w:rPr>
        <w:br w:type="textWrapping"/>
      </w:r>
      <w:r>
        <w:rPr>
          <w:rFonts w:hint="eastAsia"/>
          <w:color w:val="auto"/>
          <w:u w:val="single"/>
        </w:rPr>
        <w:t>回收率</w:t>
      </w:r>
      <w:bookmarkEnd w:id="17"/>
    </w:p>
    <w:p w14:paraId="3B08C391">
      <w:pPr>
        <w:pStyle w:val="17"/>
        <w:ind w:firstLine="560" w:firstLineChars="200"/>
        <w:rPr>
          <w:rFonts w:hint="eastAsia" w:ascii="微软雅黑" w:hAnsi="微软雅黑" w:eastAsia="微软雅黑" w:cs="Times New Roman"/>
          <w:color w:val="auto"/>
          <w:sz w:val="28"/>
          <w:szCs w:val="28"/>
        </w:rPr>
      </w:pPr>
      <w:r>
        <w:rPr>
          <w:rFonts w:hint="eastAsia" w:ascii="微软雅黑" w:hAnsi="微软雅黑" w:eastAsia="微软雅黑" w:cs="Times New Roman"/>
          <w:color w:val="auto"/>
          <w:sz w:val="28"/>
          <w:szCs w:val="28"/>
        </w:rPr>
        <w:t>回</w:t>
      </w:r>
      <w:r>
        <w:rPr>
          <w:rFonts w:hint="eastAsia" w:ascii="微软雅黑" w:hAnsi="微软雅黑" w:eastAsia="微软雅黑" w:cs="Times New Roman"/>
          <w:color w:val="000000" w:themeColor="text1"/>
          <w:sz w:val="28"/>
          <w:szCs w:val="28"/>
          <w14:textFill>
            <w14:solidFill>
              <w14:schemeClr w14:val="tx1"/>
            </w14:solidFill>
          </w14:textFill>
        </w:rPr>
        <w:t>收率在不同基质的整个测定范围内选取在健康</w:t>
      </w:r>
      <w:r>
        <w:rPr>
          <w:rFonts w:hint="eastAsia" w:ascii="微软雅黑" w:hAnsi="微软雅黑" w:eastAsia="微软雅黑" w:cs="Times New Roman"/>
          <w:color w:val="000000" w:themeColor="text1"/>
          <w:sz w:val="28"/>
          <w:szCs w:val="28"/>
          <w:lang w:eastAsia="zh-CN"/>
          <w14:textFill>
            <w14:solidFill>
              <w14:schemeClr w14:val="tx1"/>
            </w14:solidFill>
          </w14:textFill>
        </w:rPr>
        <w:t>人</w:t>
      </w:r>
      <w:r>
        <w:rPr>
          <w:rFonts w:hint="eastAsia" w:ascii="微软雅黑" w:hAnsi="微软雅黑" w:eastAsia="微软雅黑" w:cs="Times New Roman"/>
          <w:color w:val="000000" w:themeColor="text1"/>
          <w:sz w:val="28"/>
          <w:szCs w:val="28"/>
          <w14:textFill>
            <w14:solidFill>
              <w14:schemeClr w14:val="tx1"/>
            </w14:solidFill>
          </w14:textFill>
        </w:rPr>
        <w:t>血清、血浆和细胞培养上清中加入</w:t>
      </w:r>
      <w:r>
        <w:rPr>
          <w:rFonts w:ascii="微软雅黑" w:hAnsi="微软雅黑" w:eastAsia="微软雅黑" w:cs="Times New Roman"/>
          <w:color w:val="000000" w:themeColor="text1"/>
          <w:sz w:val="28"/>
          <w:szCs w:val="28"/>
          <w14:textFill>
            <w14:solidFill>
              <w14:schemeClr w14:val="tx1"/>
            </w14:solidFill>
          </w14:textFill>
        </w:rPr>
        <w:t>3</w:t>
      </w:r>
      <w:r>
        <w:rPr>
          <w:rFonts w:hint="eastAsia" w:ascii="微软雅黑" w:hAnsi="微软雅黑" w:eastAsia="微软雅黑" w:cs="Times New Roman"/>
          <w:color w:val="000000" w:themeColor="text1"/>
          <w:sz w:val="28"/>
          <w:szCs w:val="28"/>
          <w14:textFill>
            <w14:solidFill>
              <w14:schemeClr w14:val="tx1"/>
            </w14:solidFill>
          </w14:textFill>
        </w:rPr>
        <w:t>个不同浓度水平计算回收率。</w:t>
      </w: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440"/>
        <w:gridCol w:w="2476"/>
        <w:gridCol w:w="2902"/>
      </w:tblGrid>
      <w:tr w14:paraId="56AB61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51" w:hRule="atLeast"/>
          <w:jc w:val="center"/>
        </w:trPr>
        <w:tc>
          <w:tcPr>
            <w:tcW w:w="3440" w:type="dxa"/>
            <w:noWrap/>
            <w:vAlign w:val="center"/>
          </w:tcPr>
          <w:p w14:paraId="5A436452">
            <w:pPr>
              <w:jc w:val="center"/>
              <w:rPr>
                <w:rFonts w:hint="eastAsia" w:ascii="微软雅黑" w:hAnsi="微软雅黑" w:eastAsia="微软雅黑" w:cs="微软雅黑"/>
                <w:b w:val="0"/>
                <w:bCs w:val="0"/>
                <w:color w:val="auto"/>
              </w:rPr>
            </w:pPr>
            <w:r>
              <w:rPr>
                <w:rFonts w:hint="eastAsia" w:ascii="微软雅黑" w:hAnsi="微软雅黑" w:eastAsia="微软雅黑" w:cs="微软雅黑"/>
                <w:b w:val="0"/>
                <w:bCs w:val="0"/>
                <w:color w:val="auto"/>
              </w:rPr>
              <w:t>样本类型</w:t>
            </w:r>
          </w:p>
        </w:tc>
        <w:tc>
          <w:tcPr>
            <w:tcW w:w="2476" w:type="dxa"/>
            <w:noWrap/>
            <w:vAlign w:val="center"/>
          </w:tcPr>
          <w:p w14:paraId="666C850A">
            <w:pPr>
              <w:jc w:val="center"/>
              <w:rPr>
                <w:rFonts w:hint="eastAsia" w:ascii="微软雅黑" w:hAnsi="微软雅黑" w:eastAsia="微软雅黑" w:cs="微软雅黑"/>
                <w:b w:val="0"/>
                <w:bCs w:val="0"/>
                <w:color w:val="auto"/>
              </w:rPr>
            </w:pPr>
            <w:r>
              <w:rPr>
                <w:rFonts w:hint="eastAsia" w:ascii="微软雅黑" w:hAnsi="微软雅黑" w:eastAsia="微软雅黑" w:cs="微软雅黑"/>
                <w:b w:val="0"/>
                <w:bCs w:val="0"/>
                <w:color w:val="auto"/>
              </w:rPr>
              <w:t>范围（%）</w:t>
            </w:r>
          </w:p>
        </w:tc>
        <w:tc>
          <w:tcPr>
            <w:tcW w:w="2902" w:type="dxa"/>
            <w:noWrap/>
            <w:vAlign w:val="center"/>
          </w:tcPr>
          <w:p w14:paraId="6C38B602">
            <w:pPr>
              <w:jc w:val="center"/>
              <w:rPr>
                <w:rFonts w:hint="eastAsia" w:ascii="微软雅黑" w:hAnsi="微软雅黑" w:eastAsia="微软雅黑" w:cs="微软雅黑"/>
                <w:b w:val="0"/>
                <w:bCs w:val="0"/>
                <w:color w:val="auto"/>
              </w:rPr>
            </w:pPr>
            <w:r>
              <w:rPr>
                <w:rFonts w:hint="eastAsia" w:ascii="微软雅黑" w:hAnsi="微软雅黑" w:eastAsia="微软雅黑" w:cs="微软雅黑"/>
                <w:b w:val="0"/>
                <w:bCs w:val="0"/>
                <w:color w:val="auto"/>
              </w:rPr>
              <w:t>平均回收率（%）</w:t>
            </w:r>
          </w:p>
        </w:tc>
      </w:tr>
      <w:tr w14:paraId="4FC4E2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26" w:hRule="atLeast"/>
          <w:jc w:val="center"/>
        </w:trPr>
        <w:tc>
          <w:tcPr>
            <w:tcW w:w="3440" w:type="dxa"/>
            <w:noWrap/>
            <w:vAlign w:val="center"/>
          </w:tcPr>
          <w:p w14:paraId="07D06E0B">
            <w:pPr>
              <w:jc w:val="center"/>
              <w:rPr>
                <w:rFonts w:hint="eastAsia" w:ascii="微软雅黑" w:hAnsi="微软雅黑" w:eastAsia="微软雅黑" w:cs="微软雅黑"/>
                <w:b w:val="0"/>
                <w:bCs w:val="0"/>
                <w:color w:val="auto"/>
              </w:rPr>
            </w:pPr>
            <w:r>
              <w:rPr>
                <w:rFonts w:hint="eastAsia" w:ascii="微软雅黑" w:hAnsi="微软雅黑" w:eastAsia="微软雅黑" w:cs="微软雅黑"/>
                <w:b w:val="0"/>
                <w:bCs w:val="0"/>
                <w:color w:val="auto"/>
              </w:rPr>
              <w:t>血清(n=8)</w:t>
            </w:r>
          </w:p>
        </w:tc>
        <w:tc>
          <w:tcPr>
            <w:tcW w:w="2476" w:type="dxa"/>
            <w:noWrap/>
            <w:vAlign w:val="center"/>
          </w:tcPr>
          <w:p w14:paraId="621A5730">
            <w:pPr>
              <w:jc w:val="center"/>
              <w:rPr>
                <w:rFonts w:hint="eastAsia" w:ascii="微软雅黑" w:hAnsi="微软雅黑" w:eastAsia="微软雅黑" w:cs="微软雅黑"/>
                <w:b w:val="0"/>
                <w:bCs w:val="0"/>
                <w:color w:val="auto"/>
              </w:rPr>
            </w:pPr>
            <w:r>
              <w:rPr>
                <w:rFonts w:hint="eastAsia" w:ascii="微软雅黑" w:hAnsi="微软雅黑" w:eastAsia="微软雅黑" w:cs="微软雅黑"/>
                <w:b w:val="0"/>
                <w:bCs w:val="0"/>
                <w:color w:val="auto"/>
              </w:rPr>
              <w:t>86-102</w:t>
            </w:r>
          </w:p>
        </w:tc>
        <w:tc>
          <w:tcPr>
            <w:tcW w:w="2902" w:type="dxa"/>
            <w:noWrap/>
            <w:vAlign w:val="center"/>
          </w:tcPr>
          <w:p w14:paraId="278FB94F">
            <w:pPr>
              <w:jc w:val="center"/>
              <w:rPr>
                <w:rFonts w:hint="eastAsia" w:ascii="微软雅黑" w:hAnsi="微软雅黑" w:eastAsia="微软雅黑" w:cs="微软雅黑"/>
                <w:b w:val="0"/>
                <w:bCs w:val="0"/>
                <w:color w:val="auto"/>
              </w:rPr>
            </w:pPr>
            <w:r>
              <w:rPr>
                <w:rFonts w:hint="eastAsia" w:ascii="微软雅黑" w:hAnsi="微软雅黑" w:eastAsia="微软雅黑" w:cs="微软雅黑"/>
                <w:b w:val="0"/>
                <w:bCs w:val="0"/>
                <w:color w:val="auto"/>
              </w:rPr>
              <w:t>94</w:t>
            </w:r>
          </w:p>
        </w:tc>
      </w:tr>
      <w:tr w14:paraId="5C2D6B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26" w:hRule="atLeast"/>
          <w:jc w:val="center"/>
        </w:trPr>
        <w:tc>
          <w:tcPr>
            <w:tcW w:w="3440" w:type="dxa"/>
            <w:noWrap/>
            <w:vAlign w:val="center"/>
          </w:tcPr>
          <w:p w14:paraId="4F3695D9">
            <w:pPr>
              <w:jc w:val="center"/>
              <w:rPr>
                <w:rFonts w:hint="eastAsia" w:ascii="微软雅黑" w:hAnsi="微软雅黑" w:eastAsia="微软雅黑" w:cs="微软雅黑"/>
                <w:b w:val="0"/>
                <w:bCs w:val="0"/>
                <w:color w:val="auto"/>
              </w:rPr>
            </w:pPr>
            <w:r>
              <w:rPr>
                <w:rFonts w:hint="eastAsia" w:ascii="微软雅黑" w:hAnsi="微软雅黑" w:eastAsia="微软雅黑" w:cs="微软雅黑"/>
                <w:b w:val="0"/>
                <w:bCs w:val="0"/>
                <w:color w:val="auto"/>
              </w:rPr>
              <w:t>血浆(n=8)</w:t>
            </w:r>
          </w:p>
        </w:tc>
        <w:tc>
          <w:tcPr>
            <w:tcW w:w="2476" w:type="dxa"/>
            <w:noWrap/>
            <w:vAlign w:val="center"/>
          </w:tcPr>
          <w:p w14:paraId="7C1F867C">
            <w:pPr>
              <w:jc w:val="center"/>
              <w:rPr>
                <w:rFonts w:hint="eastAsia" w:ascii="微软雅黑" w:hAnsi="微软雅黑" w:eastAsia="微软雅黑" w:cs="微软雅黑"/>
                <w:b w:val="0"/>
                <w:bCs w:val="0"/>
                <w:color w:val="auto"/>
              </w:rPr>
            </w:pPr>
            <w:r>
              <w:rPr>
                <w:rFonts w:hint="eastAsia" w:ascii="微软雅黑" w:hAnsi="微软雅黑" w:eastAsia="微软雅黑" w:cs="微软雅黑"/>
                <w:b w:val="0"/>
                <w:bCs w:val="0"/>
                <w:color w:val="auto"/>
              </w:rPr>
              <w:t>90-106</w:t>
            </w:r>
          </w:p>
        </w:tc>
        <w:tc>
          <w:tcPr>
            <w:tcW w:w="2902" w:type="dxa"/>
            <w:noWrap/>
            <w:vAlign w:val="center"/>
          </w:tcPr>
          <w:p w14:paraId="60774F63">
            <w:pPr>
              <w:jc w:val="center"/>
              <w:rPr>
                <w:rFonts w:hint="eastAsia" w:ascii="微软雅黑" w:hAnsi="微软雅黑" w:eastAsia="微软雅黑" w:cs="微软雅黑"/>
                <w:b w:val="0"/>
                <w:bCs w:val="0"/>
                <w:color w:val="auto"/>
              </w:rPr>
            </w:pPr>
            <w:r>
              <w:rPr>
                <w:rFonts w:hint="eastAsia" w:ascii="微软雅黑" w:hAnsi="微软雅黑" w:eastAsia="微软雅黑" w:cs="微软雅黑"/>
                <w:b w:val="0"/>
                <w:bCs w:val="0"/>
                <w:color w:val="auto"/>
              </w:rPr>
              <w:t>98</w:t>
            </w:r>
          </w:p>
        </w:tc>
      </w:tr>
      <w:tr w14:paraId="0DFF65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76" w:hRule="atLeast"/>
          <w:jc w:val="center"/>
        </w:trPr>
        <w:tc>
          <w:tcPr>
            <w:tcW w:w="3440" w:type="dxa"/>
            <w:noWrap/>
            <w:vAlign w:val="center"/>
          </w:tcPr>
          <w:p w14:paraId="55707C48">
            <w:pPr>
              <w:jc w:val="center"/>
              <w:rPr>
                <w:rFonts w:hint="eastAsia" w:ascii="微软雅黑" w:hAnsi="微软雅黑" w:eastAsia="微软雅黑" w:cs="微软雅黑"/>
                <w:b w:val="0"/>
                <w:bCs w:val="0"/>
                <w:color w:val="auto"/>
              </w:rPr>
            </w:pPr>
            <w:r>
              <w:rPr>
                <w:rFonts w:hint="eastAsia" w:ascii="微软雅黑" w:hAnsi="微软雅黑" w:eastAsia="微软雅黑" w:cs="微软雅黑"/>
                <w:b w:val="0"/>
                <w:bCs w:val="0"/>
                <w:color w:val="auto"/>
              </w:rPr>
              <w:t>细胞培养上清(n=8)</w:t>
            </w:r>
          </w:p>
        </w:tc>
        <w:tc>
          <w:tcPr>
            <w:tcW w:w="2476" w:type="dxa"/>
            <w:noWrap/>
            <w:vAlign w:val="center"/>
          </w:tcPr>
          <w:p w14:paraId="575CB696">
            <w:pPr>
              <w:jc w:val="center"/>
              <w:rPr>
                <w:rFonts w:hint="eastAsia" w:ascii="微软雅黑" w:hAnsi="微软雅黑" w:eastAsia="微软雅黑" w:cs="微软雅黑"/>
                <w:b w:val="0"/>
                <w:bCs w:val="0"/>
                <w:color w:val="auto"/>
              </w:rPr>
            </w:pPr>
            <w:r>
              <w:rPr>
                <w:rFonts w:hint="eastAsia" w:ascii="微软雅黑" w:hAnsi="微软雅黑" w:eastAsia="微软雅黑" w:cs="微软雅黑"/>
                <w:b w:val="0"/>
                <w:bCs w:val="0"/>
                <w:color w:val="auto"/>
              </w:rPr>
              <w:t>94-110</w:t>
            </w:r>
          </w:p>
        </w:tc>
        <w:tc>
          <w:tcPr>
            <w:tcW w:w="2902" w:type="dxa"/>
            <w:noWrap/>
            <w:vAlign w:val="center"/>
          </w:tcPr>
          <w:p w14:paraId="1AD58FEE">
            <w:pPr>
              <w:jc w:val="center"/>
              <w:rPr>
                <w:rFonts w:hint="eastAsia" w:ascii="微软雅黑" w:hAnsi="微软雅黑" w:eastAsia="微软雅黑" w:cs="微软雅黑"/>
                <w:b w:val="0"/>
                <w:bCs w:val="0"/>
                <w:color w:val="auto"/>
              </w:rPr>
            </w:pPr>
            <w:r>
              <w:rPr>
                <w:rFonts w:hint="eastAsia" w:ascii="微软雅黑" w:hAnsi="微软雅黑" w:eastAsia="微软雅黑" w:cs="微软雅黑"/>
                <w:b w:val="0"/>
                <w:bCs w:val="0"/>
                <w:color w:val="auto"/>
              </w:rPr>
              <w:t>102</w:t>
            </w:r>
          </w:p>
        </w:tc>
      </w:tr>
    </w:tbl>
    <w:p w14:paraId="19E4756D">
      <w:pPr>
        <w:pStyle w:val="10"/>
        <w:rPr>
          <w:rFonts w:hint="eastAsia"/>
          <w:color w:val="558ED5" w:themeColor="text2" w:themeTint="99"/>
          <w14:textFill>
            <w14:solidFill>
              <w14:schemeClr w14:val="tx2">
                <w14:lumMod w14:val="60000"/>
                <w14:lumOff w14:val="40000"/>
              </w14:schemeClr>
            </w14:solidFill>
          </w14:textFill>
        </w:rPr>
      </w:pPr>
      <w:bookmarkStart w:id="18" w:name="_Toc164420469"/>
      <w:r>
        <w:rPr>
          <w:rFonts w:hint="eastAsia"/>
          <w:color w:val="auto"/>
          <w:u w:val="single"/>
        </w:rPr>
        <w:t>灵敏度</w:t>
      </w:r>
      <w:bookmarkEnd w:id="18"/>
      <w:r>
        <w:rPr>
          <w:color w:val="558ED5" w:themeColor="text2" w:themeTint="99"/>
          <w14:textFill>
            <w14:solidFill>
              <w14:schemeClr w14:val="tx2">
                <w14:lumMod w14:val="60000"/>
                <w14:lumOff w14:val="40000"/>
              </w14:schemeClr>
            </w14:solidFill>
          </w14:textFill>
        </w:rPr>
        <w:t xml:space="preserve"> </w:t>
      </w:r>
    </w:p>
    <w:p w14:paraId="1F54AF94">
      <w:pPr>
        <w:pStyle w:val="17"/>
        <w:ind w:firstLine="560" w:firstLineChars="200"/>
        <w:rPr>
          <w:rFonts w:hint="eastAsia" w:ascii="微软雅黑" w:hAnsi="微软雅黑" w:eastAsia="微软雅黑" w:cs="Times New Roman"/>
          <w:sz w:val="28"/>
          <w:szCs w:val="28"/>
        </w:rPr>
      </w:pPr>
      <w:r>
        <w:rPr>
          <w:rFonts w:hint="eastAsia" w:ascii="微软雅黑" w:hAnsi="微软雅黑" w:eastAsia="微软雅黑" w:cs="Times New Roman"/>
          <w:color w:val="000000" w:themeColor="text1"/>
          <w:sz w:val="28"/>
          <w:szCs w:val="28"/>
          <w14:textFill>
            <w14:solidFill>
              <w14:schemeClr w14:val="tx1"/>
            </w14:solidFill>
          </w14:textFill>
        </w:rPr>
        <w:t>经样本测试，本试剂盒的检测灵敏度</w:t>
      </w:r>
      <w:bookmarkStart w:id="19" w:name="_Toc164420470"/>
      <w:r>
        <w:rPr>
          <w:rFonts w:hint="eastAsia" w:ascii="微软雅黑" w:hAnsi="微软雅黑" w:eastAsia="微软雅黑" w:cs="Times New Roman"/>
          <w:color w:val="000000" w:themeColor="text1"/>
          <w:sz w:val="28"/>
          <w:szCs w:val="28"/>
          <w14:textFill>
            <w14:solidFill>
              <w14:schemeClr w14:val="tx1"/>
            </w14:solidFill>
          </w14:textFill>
        </w:rPr>
        <w:t>为</w:t>
      </w:r>
      <w:r>
        <w:rPr>
          <w:rFonts w:hint="eastAsia" w:ascii="微软雅黑" w:hAnsi="微软雅黑" w:eastAsia="微软雅黑" w:cs="Times New Roman"/>
          <w:color w:val="000000" w:themeColor="text1"/>
          <w:sz w:val="28"/>
          <w:szCs w:val="28"/>
          <w:lang w:val="en-US" w:eastAsia="zh-CN"/>
          <w14:textFill>
            <w14:solidFill>
              <w14:schemeClr w14:val="tx1"/>
            </w14:solidFill>
          </w14:textFill>
        </w:rPr>
        <w:t>0.39ng/mL</w:t>
      </w:r>
      <w:r>
        <w:rPr>
          <w:rFonts w:hint="eastAsia" w:ascii="微软雅黑" w:hAnsi="微软雅黑" w:eastAsia="微软雅黑" w:cs="Times New Roman"/>
          <w:color w:val="000000" w:themeColor="text1"/>
          <w:sz w:val="28"/>
          <w:szCs w:val="28"/>
          <w14:textFill>
            <w14:solidFill>
              <w14:schemeClr w14:val="tx1"/>
            </w14:solidFill>
          </w14:textFill>
        </w:rPr>
        <w:t>。</w:t>
      </w:r>
    </w:p>
    <w:p w14:paraId="10E327D9">
      <w:pPr>
        <w:pStyle w:val="10"/>
        <w:rPr>
          <w:rFonts w:hint="eastAsia"/>
          <w:color w:val="000000" w:themeColor="text1"/>
          <w14:textFill>
            <w14:solidFill>
              <w14:schemeClr w14:val="tx1"/>
            </w14:solidFill>
          </w14:textFill>
        </w:rPr>
      </w:pPr>
      <w:r>
        <w:rPr>
          <w:rFonts w:hint="eastAsia"/>
          <w:color w:val="000000" w:themeColor="text1"/>
          <w:u w:val="single"/>
          <w14:textFill>
            <w14:solidFill>
              <w14:schemeClr w14:val="tx1"/>
            </w14:solidFill>
          </w14:textFill>
        </w:rPr>
        <w:t>线性</w:t>
      </w:r>
      <w:bookmarkEnd w:id="19"/>
      <w:r>
        <w:rPr>
          <w:rFonts w:hint="eastAsia"/>
          <w:color w:val="000000" w:themeColor="text1"/>
          <w:u w:val="single"/>
          <w14:textFill>
            <w14:solidFill>
              <w14:schemeClr w14:val="tx1"/>
            </w14:solidFill>
          </w14:textFill>
        </w:rPr>
        <w:t>关系</w:t>
      </w:r>
    </w:p>
    <w:p w14:paraId="757C75E3">
      <w:pPr>
        <w:pStyle w:val="17"/>
        <w:ind w:firstLine="560" w:firstLineChars="200"/>
        <w:rPr>
          <w:rFonts w:hint="eastAsia" w:ascii="微软雅黑" w:hAnsi="微软雅黑" w:eastAsia="微软雅黑" w:cs="Times New Roman"/>
          <w:color w:val="auto"/>
          <w:sz w:val="28"/>
          <w:szCs w:val="28"/>
        </w:rPr>
      </w:pPr>
      <w:r>
        <w:rPr>
          <w:rFonts w:hint="eastAsia" w:ascii="微软雅黑" w:hAnsi="微软雅黑" w:eastAsia="微软雅黑" w:cs="Times New Roman"/>
          <w:color w:val="000000" w:themeColor="text1"/>
          <w:sz w:val="28"/>
          <w:szCs w:val="28"/>
          <w14:textFill>
            <w14:solidFill>
              <w14:schemeClr w14:val="tx1"/>
            </w14:solidFill>
          </w14:textFill>
        </w:rPr>
        <w:t>分别在选取的</w:t>
      </w:r>
      <w:r>
        <w:rPr>
          <w:rFonts w:ascii="微软雅黑" w:hAnsi="微软雅黑" w:eastAsia="微软雅黑" w:cs="Times New Roman"/>
          <w:color w:val="000000" w:themeColor="text1"/>
          <w:sz w:val="28"/>
          <w:szCs w:val="28"/>
          <w14:textFill>
            <w14:solidFill>
              <w14:schemeClr w14:val="tx1"/>
            </w14:solidFill>
          </w14:textFill>
        </w:rPr>
        <w:t>4</w:t>
      </w:r>
      <w:r>
        <w:rPr>
          <w:rFonts w:hint="eastAsia" w:ascii="微软雅黑" w:hAnsi="微软雅黑" w:eastAsia="微软雅黑" w:cs="Times New Roman"/>
          <w:color w:val="000000" w:themeColor="text1"/>
          <w:sz w:val="28"/>
          <w:szCs w:val="28"/>
          <w14:textFill>
            <w14:solidFill>
              <w14:schemeClr w14:val="tx1"/>
            </w14:solidFill>
          </w14:textFill>
        </w:rPr>
        <w:t>份健康</w:t>
      </w:r>
      <w:r>
        <w:rPr>
          <w:rFonts w:hint="eastAsia" w:ascii="微软雅黑" w:hAnsi="微软雅黑" w:eastAsia="微软雅黑" w:cs="Times New Roman"/>
          <w:color w:val="000000" w:themeColor="text1"/>
          <w:sz w:val="28"/>
          <w:szCs w:val="28"/>
          <w:lang w:eastAsia="zh-CN"/>
          <w14:textFill>
            <w14:solidFill>
              <w14:schemeClr w14:val="tx1"/>
            </w14:solidFill>
          </w14:textFill>
        </w:rPr>
        <w:t>人</w:t>
      </w:r>
      <w:r>
        <w:rPr>
          <w:rFonts w:hint="eastAsia" w:ascii="微软雅黑" w:hAnsi="微软雅黑" w:eastAsia="微软雅黑" w:cs="Times New Roman"/>
          <w:color w:val="000000" w:themeColor="text1"/>
          <w:sz w:val="28"/>
          <w:szCs w:val="28"/>
          <w14:textFill>
            <w14:solidFill>
              <w14:schemeClr w14:val="tx1"/>
            </w14:solidFill>
          </w14:textFill>
        </w:rPr>
        <w:t>血清、血浆和细胞培养上清中加入高浓度</w:t>
      </w:r>
      <w:r>
        <w:rPr>
          <w:rFonts w:hint="eastAsia" w:ascii="微软雅黑" w:hAnsi="微软雅黑" w:eastAsia="微软雅黑"/>
          <w:color w:val="000000" w:themeColor="text1"/>
          <w:sz w:val="28"/>
          <w:szCs w:val="28"/>
          <w:lang w:val="en-US" w:eastAsia="zh-CN"/>
          <w14:textFill>
            <w14:solidFill>
              <w14:schemeClr w14:val="tx1"/>
            </w14:solidFill>
          </w14:textFill>
        </w:rPr>
        <w:t>MMP-8</w:t>
      </w:r>
      <w:r>
        <w:rPr>
          <w:rFonts w:hint="eastAsia" w:ascii="微软雅黑" w:hAnsi="微软雅黑" w:eastAsia="微软雅黑" w:cs="Times New Roman"/>
          <w:color w:val="000000" w:themeColor="text1"/>
          <w:sz w:val="28"/>
          <w:szCs w:val="28"/>
          <w14:textFill>
            <w14:solidFill>
              <w14:schemeClr w14:val="tx1"/>
            </w14:solidFill>
          </w14:textFill>
        </w:rPr>
        <w:t>，在标准曲线动力学范围内进行稀释，评估线性。</w:t>
      </w: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756"/>
        <w:gridCol w:w="1885"/>
        <w:gridCol w:w="1656"/>
        <w:gridCol w:w="1590"/>
        <w:gridCol w:w="2050"/>
      </w:tblGrid>
      <w:tr w14:paraId="0B0FC0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73" w:hRule="atLeast"/>
          <w:jc w:val="center"/>
        </w:trPr>
        <w:tc>
          <w:tcPr>
            <w:tcW w:w="1756" w:type="dxa"/>
            <w:vAlign w:val="center"/>
          </w:tcPr>
          <w:p w14:paraId="42C37F4C">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lang w:bidi="ar"/>
              </w:rPr>
              <w:t>稀释比例</w:t>
            </w:r>
          </w:p>
        </w:tc>
        <w:tc>
          <w:tcPr>
            <w:tcW w:w="1885" w:type="dxa"/>
            <w:vAlign w:val="center"/>
          </w:tcPr>
          <w:p w14:paraId="60F76DEF">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lang w:bidi="ar"/>
              </w:rPr>
              <w:t>回收率（%）</w:t>
            </w:r>
          </w:p>
        </w:tc>
        <w:tc>
          <w:tcPr>
            <w:tcW w:w="1656" w:type="dxa"/>
            <w:vAlign w:val="center"/>
          </w:tcPr>
          <w:p w14:paraId="0F41562C">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lang w:bidi="ar"/>
              </w:rPr>
              <w:t>血清</w:t>
            </w:r>
          </w:p>
        </w:tc>
        <w:tc>
          <w:tcPr>
            <w:tcW w:w="1590" w:type="dxa"/>
            <w:vAlign w:val="center"/>
          </w:tcPr>
          <w:p w14:paraId="5893A27C">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lang w:bidi="ar"/>
              </w:rPr>
              <w:t>血浆</w:t>
            </w:r>
          </w:p>
        </w:tc>
        <w:tc>
          <w:tcPr>
            <w:tcW w:w="2050" w:type="dxa"/>
            <w:vAlign w:val="center"/>
          </w:tcPr>
          <w:p w14:paraId="32CD5A58">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lang w:bidi="ar"/>
              </w:rPr>
              <w:t>细胞培养上清</w:t>
            </w:r>
          </w:p>
        </w:tc>
      </w:tr>
      <w:tr w14:paraId="6D9C52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9" w:hRule="atLeast"/>
          <w:jc w:val="center"/>
        </w:trPr>
        <w:tc>
          <w:tcPr>
            <w:tcW w:w="1756" w:type="dxa"/>
            <w:vAlign w:val="center"/>
          </w:tcPr>
          <w:p w14:paraId="7645BEA0">
            <w:pPr>
              <w:jc w:val="center"/>
              <w:rPr>
                <w:rFonts w:hint="eastAsia" w:ascii="微软雅黑" w:hAnsi="微软雅黑" w:eastAsia="微软雅黑" w:cs="微软雅黑"/>
                <w:b w:val="0"/>
                <w:bCs w:val="0"/>
                <w:color w:val="auto"/>
                <w:sz w:val="24"/>
                <w:szCs w:val="24"/>
                <w:lang w:bidi="ar"/>
              </w:rPr>
            </w:pPr>
            <w:r>
              <w:rPr>
                <w:rFonts w:hint="eastAsia" w:ascii="微软雅黑" w:hAnsi="微软雅黑" w:eastAsia="微软雅黑" w:cs="微软雅黑"/>
                <w:b w:val="0"/>
                <w:bCs w:val="0"/>
                <w:color w:val="auto"/>
                <w:sz w:val="24"/>
                <w:szCs w:val="24"/>
                <w:lang w:bidi="ar"/>
              </w:rPr>
              <w:t>1:2</w:t>
            </w:r>
          </w:p>
        </w:tc>
        <w:tc>
          <w:tcPr>
            <w:tcW w:w="1885" w:type="dxa"/>
            <w:vAlign w:val="center"/>
          </w:tcPr>
          <w:p w14:paraId="6CAEFF47">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lang w:bidi="ar"/>
              </w:rPr>
              <w:t>范围（%）</w:t>
            </w:r>
          </w:p>
        </w:tc>
        <w:tc>
          <w:tcPr>
            <w:tcW w:w="1656" w:type="dxa"/>
            <w:vAlign w:val="center"/>
          </w:tcPr>
          <w:p w14:paraId="10842A14">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lang w:bidi="ar"/>
              </w:rPr>
              <w:t>92-96</w:t>
            </w:r>
          </w:p>
        </w:tc>
        <w:tc>
          <w:tcPr>
            <w:tcW w:w="1590" w:type="dxa"/>
            <w:vAlign w:val="center"/>
          </w:tcPr>
          <w:p w14:paraId="394EE84E">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lang w:bidi="ar"/>
              </w:rPr>
              <w:t>90-98</w:t>
            </w:r>
          </w:p>
        </w:tc>
        <w:tc>
          <w:tcPr>
            <w:tcW w:w="2050" w:type="dxa"/>
            <w:vAlign w:val="center"/>
          </w:tcPr>
          <w:p w14:paraId="2332C42A">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lang w:bidi="ar"/>
              </w:rPr>
              <w:t>92-112</w:t>
            </w:r>
          </w:p>
        </w:tc>
      </w:tr>
      <w:tr w14:paraId="7045AC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9" w:hRule="atLeast"/>
          <w:jc w:val="center"/>
        </w:trPr>
        <w:tc>
          <w:tcPr>
            <w:tcW w:w="1756" w:type="dxa"/>
            <w:vAlign w:val="center"/>
          </w:tcPr>
          <w:p w14:paraId="210A71A7">
            <w:pPr>
              <w:jc w:val="center"/>
              <w:rPr>
                <w:rFonts w:hint="eastAsia" w:ascii="微软雅黑" w:hAnsi="微软雅黑" w:eastAsia="微软雅黑" w:cs="微软雅黑"/>
                <w:b w:val="0"/>
                <w:bCs w:val="0"/>
                <w:color w:val="auto"/>
                <w:sz w:val="24"/>
                <w:szCs w:val="24"/>
                <w:lang w:bidi="ar"/>
              </w:rPr>
            </w:pPr>
            <w:r>
              <w:rPr>
                <w:rFonts w:hint="eastAsia" w:ascii="微软雅黑" w:hAnsi="微软雅黑" w:eastAsia="微软雅黑" w:cs="微软雅黑"/>
                <w:b w:val="0"/>
                <w:bCs w:val="0"/>
                <w:color w:val="auto"/>
                <w:sz w:val="24"/>
                <w:szCs w:val="24"/>
                <w:lang w:bidi="ar"/>
              </w:rPr>
              <w:t>1:4</w:t>
            </w:r>
          </w:p>
        </w:tc>
        <w:tc>
          <w:tcPr>
            <w:tcW w:w="1885" w:type="dxa"/>
            <w:vAlign w:val="center"/>
          </w:tcPr>
          <w:p w14:paraId="28B6E8B7">
            <w:pPr>
              <w:jc w:val="center"/>
              <w:rPr>
                <w:rFonts w:hint="eastAsia" w:ascii="微软雅黑" w:hAnsi="微软雅黑" w:eastAsia="微软雅黑" w:cs="微软雅黑"/>
                <w:b w:val="0"/>
                <w:bCs w:val="0"/>
                <w:color w:val="auto"/>
                <w:sz w:val="24"/>
                <w:szCs w:val="24"/>
                <w:lang w:bidi="ar"/>
              </w:rPr>
            </w:pPr>
            <w:r>
              <w:rPr>
                <w:rFonts w:hint="eastAsia" w:ascii="微软雅黑" w:hAnsi="微软雅黑" w:eastAsia="微软雅黑" w:cs="微软雅黑"/>
                <w:b w:val="0"/>
                <w:bCs w:val="0"/>
                <w:color w:val="auto"/>
                <w:sz w:val="24"/>
                <w:szCs w:val="24"/>
                <w:lang w:bidi="ar"/>
              </w:rPr>
              <w:t>范围（%）</w:t>
            </w:r>
          </w:p>
        </w:tc>
        <w:tc>
          <w:tcPr>
            <w:tcW w:w="1656" w:type="dxa"/>
            <w:vAlign w:val="center"/>
          </w:tcPr>
          <w:p w14:paraId="0C0A6E2E">
            <w:pPr>
              <w:jc w:val="center"/>
              <w:rPr>
                <w:rFonts w:hint="eastAsia" w:ascii="微软雅黑" w:hAnsi="微软雅黑" w:eastAsia="微软雅黑" w:cs="微软雅黑"/>
                <w:b w:val="0"/>
                <w:bCs w:val="0"/>
                <w:color w:val="auto"/>
                <w:sz w:val="24"/>
                <w:szCs w:val="24"/>
                <w:lang w:bidi="ar"/>
              </w:rPr>
            </w:pPr>
            <w:r>
              <w:rPr>
                <w:rFonts w:hint="eastAsia" w:ascii="微软雅黑" w:hAnsi="微软雅黑" w:eastAsia="微软雅黑" w:cs="微软雅黑"/>
                <w:b w:val="0"/>
                <w:bCs w:val="0"/>
                <w:color w:val="auto"/>
                <w:sz w:val="24"/>
                <w:szCs w:val="24"/>
                <w:lang w:bidi="ar"/>
              </w:rPr>
              <w:t>88-104</w:t>
            </w:r>
          </w:p>
        </w:tc>
        <w:tc>
          <w:tcPr>
            <w:tcW w:w="1590" w:type="dxa"/>
            <w:vAlign w:val="center"/>
          </w:tcPr>
          <w:p w14:paraId="073188F2">
            <w:pPr>
              <w:jc w:val="center"/>
              <w:rPr>
                <w:rFonts w:hint="eastAsia" w:ascii="微软雅黑" w:hAnsi="微软雅黑" w:eastAsia="微软雅黑" w:cs="微软雅黑"/>
                <w:b w:val="0"/>
                <w:bCs w:val="0"/>
                <w:color w:val="auto"/>
                <w:sz w:val="24"/>
                <w:szCs w:val="24"/>
                <w:lang w:bidi="ar"/>
              </w:rPr>
            </w:pPr>
            <w:r>
              <w:rPr>
                <w:rFonts w:hint="eastAsia" w:ascii="微软雅黑" w:hAnsi="微软雅黑" w:eastAsia="微软雅黑" w:cs="微软雅黑"/>
                <w:b w:val="0"/>
                <w:bCs w:val="0"/>
                <w:color w:val="auto"/>
                <w:sz w:val="24"/>
                <w:szCs w:val="24"/>
                <w:lang w:bidi="ar"/>
              </w:rPr>
              <w:t>89-107</w:t>
            </w:r>
          </w:p>
        </w:tc>
        <w:tc>
          <w:tcPr>
            <w:tcW w:w="2050" w:type="dxa"/>
            <w:vAlign w:val="center"/>
          </w:tcPr>
          <w:p w14:paraId="125F622A">
            <w:pPr>
              <w:jc w:val="center"/>
              <w:rPr>
                <w:rFonts w:hint="eastAsia" w:ascii="微软雅黑" w:hAnsi="微软雅黑" w:eastAsia="微软雅黑" w:cs="微软雅黑"/>
                <w:b w:val="0"/>
                <w:bCs w:val="0"/>
                <w:color w:val="auto"/>
                <w:sz w:val="24"/>
                <w:szCs w:val="24"/>
                <w:lang w:bidi="ar"/>
              </w:rPr>
            </w:pPr>
            <w:r>
              <w:rPr>
                <w:rFonts w:hint="eastAsia" w:ascii="微软雅黑" w:hAnsi="微软雅黑" w:eastAsia="微软雅黑" w:cs="微软雅黑"/>
                <w:b w:val="0"/>
                <w:bCs w:val="0"/>
                <w:color w:val="auto"/>
                <w:sz w:val="24"/>
                <w:szCs w:val="24"/>
                <w:lang w:bidi="ar"/>
              </w:rPr>
              <w:t>104-116</w:t>
            </w:r>
          </w:p>
        </w:tc>
      </w:tr>
      <w:tr w14:paraId="43483D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3" w:hRule="atLeast"/>
          <w:jc w:val="center"/>
        </w:trPr>
        <w:tc>
          <w:tcPr>
            <w:tcW w:w="1756" w:type="dxa"/>
            <w:vAlign w:val="center"/>
          </w:tcPr>
          <w:p w14:paraId="3BEC9458">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lang w:bidi="ar"/>
              </w:rPr>
              <w:t>1:8</w:t>
            </w:r>
          </w:p>
        </w:tc>
        <w:tc>
          <w:tcPr>
            <w:tcW w:w="1885" w:type="dxa"/>
            <w:vAlign w:val="center"/>
          </w:tcPr>
          <w:p w14:paraId="7E03D034">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lang w:bidi="ar"/>
              </w:rPr>
              <w:t>范围（%）</w:t>
            </w:r>
          </w:p>
        </w:tc>
        <w:tc>
          <w:tcPr>
            <w:tcW w:w="1656" w:type="dxa"/>
            <w:vAlign w:val="center"/>
          </w:tcPr>
          <w:p w14:paraId="73574BBB">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lang w:bidi="ar"/>
              </w:rPr>
              <w:t>95-102</w:t>
            </w:r>
          </w:p>
        </w:tc>
        <w:tc>
          <w:tcPr>
            <w:tcW w:w="1590" w:type="dxa"/>
            <w:vAlign w:val="center"/>
          </w:tcPr>
          <w:p w14:paraId="7701340D">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lang w:bidi="ar"/>
              </w:rPr>
              <w:t>92-101</w:t>
            </w:r>
          </w:p>
        </w:tc>
        <w:tc>
          <w:tcPr>
            <w:tcW w:w="2050" w:type="dxa"/>
            <w:vAlign w:val="center"/>
          </w:tcPr>
          <w:p w14:paraId="0436BEF4">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lang w:bidi="ar"/>
              </w:rPr>
              <w:t>99-115</w:t>
            </w:r>
          </w:p>
        </w:tc>
      </w:tr>
    </w:tbl>
    <w:p w14:paraId="4561C8D0">
      <w:pPr>
        <w:pStyle w:val="10"/>
        <w:rPr>
          <w:rFonts w:hint="eastAsia"/>
          <w:color w:val="000000" w:themeColor="text1"/>
          <w:u w:val="single"/>
          <w14:textFill>
            <w14:solidFill>
              <w14:schemeClr w14:val="tx1"/>
            </w14:solidFill>
          </w14:textFill>
        </w:rPr>
      </w:pPr>
      <w:bookmarkStart w:id="20" w:name="_Toc164420472"/>
      <w:r>
        <w:rPr>
          <w:rFonts w:hint="eastAsia"/>
          <w:color w:val="000000" w:themeColor="text1"/>
          <w:u w:val="single"/>
          <w14:textFill>
            <w14:solidFill>
              <w14:schemeClr w14:val="tx1"/>
            </w14:solidFill>
          </w14:textFill>
        </w:rPr>
        <w:t>特异性</w:t>
      </w:r>
      <w:bookmarkEnd w:id="20"/>
    </w:p>
    <w:p w14:paraId="5361BF3C">
      <w:pPr>
        <w:rPr>
          <w:rFonts w:hint="eastAsia" w:ascii="微软雅黑" w:hAnsi="微软雅黑" w:eastAsia="微软雅黑" w:cs="微软雅黑"/>
          <w:b w:val="0"/>
          <w:bCs w:val="0"/>
          <w:color w:val="000000" w:themeColor="text1"/>
          <w:sz w:val="28"/>
          <w:szCs w:val="28"/>
          <w14:textFill>
            <w14:solidFill>
              <w14:schemeClr w14:val="tx1"/>
            </w14:solidFill>
          </w14:textFill>
        </w:rPr>
      </w:pPr>
      <w:r>
        <w:rPr>
          <w:rFonts w:hint="eastAsia" w:ascii="微软雅黑" w:hAnsi="微软雅黑" w:eastAsia="微软雅黑" w:cs="微软雅黑"/>
          <w:b w:val="0"/>
          <w:bCs w:val="0"/>
          <w:color w:val="000000" w:themeColor="text1"/>
          <w:sz w:val="28"/>
          <w:szCs w:val="28"/>
          <w14:textFill>
            <w14:solidFill>
              <w14:schemeClr w14:val="tx1"/>
            </w14:solidFill>
          </w14:textFill>
        </w:rPr>
        <w:t>该试剂盒测定可识别重组</w:t>
      </w:r>
      <w:r>
        <w:rPr>
          <w:rFonts w:hint="eastAsia" w:ascii="微软雅黑" w:hAnsi="微软雅黑" w:eastAsia="微软雅黑" w:cs="微软雅黑"/>
          <w:b w:val="0"/>
          <w:bCs w:val="0"/>
          <w:color w:val="000000" w:themeColor="text1"/>
          <w:sz w:val="28"/>
          <w:szCs w:val="28"/>
          <w:lang w:eastAsia="zh-CN"/>
          <w14:textFill>
            <w14:solidFill>
              <w14:schemeClr w14:val="tx1"/>
            </w14:solidFill>
          </w14:textFill>
        </w:rPr>
        <w:t>人MMP-8</w:t>
      </w:r>
      <w:r>
        <w:rPr>
          <w:rFonts w:hint="eastAsia" w:ascii="微软雅黑" w:hAnsi="微软雅黑" w:eastAsia="微软雅黑" w:cs="微软雅黑"/>
          <w:b w:val="0"/>
          <w:bCs w:val="0"/>
          <w:color w:val="000000" w:themeColor="text1"/>
          <w:sz w:val="28"/>
          <w:szCs w:val="28"/>
          <w14:textFill>
            <w14:solidFill>
              <w14:schemeClr w14:val="tx1"/>
            </w14:solidFill>
          </w14:textFill>
        </w:rPr>
        <w:t>。</w:t>
      </w:r>
    </w:p>
    <w:p w14:paraId="67F23B4F">
      <w:pPr>
        <w:rPr>
          <w:rFonts w:hint="eastAsia" w:ascii="微软雅黑" w:hAnsi="微软雅黑" w:eastAsia="微软雅黑" w:cs="微软雅黑"/>
          <w:b w:val="0"/>
          <w:bCs w:val="0"/>
          <w:color w:val="000000" w:themeColor="text1"/>
          <w:sz w:val="28"/>
          <w:szCs w:val="28"/>
          <w14:textFill>
            <w14:solidFill>
              <w14:schemeClr w14:val="tx1"/>
            </w14:solidFill>
          </w14:textFill>
        </w:rPr>
      </w:pPr>
      <w:r>
        <w:rPr>
          <w:rFonts w:hint="eastAsia" w:ascii="微软雅黑" w:hAnsi="微软雅黑" w:eastAsia="微软雅黑" w:cs="微软雅黑"/>
          <w:b w:val="0"/>
          <w:bCs w:val="0"/>
          <w:color w:val="000000" w:themeColor="text1"/>
          <w:sz w:val="28"/>
          <w:szCs w:val="28"/>
          <w14:textFill>
            <w14:solidFill>
              <w14:schemeClr w14:val="tx1"/>
            </w14:solidFill>
          </w14:textFill>
        </w:rPr>
        <w:t>其他相关蛋白在稀释缓冲液中制备为50ng/mL，并测定交叉反应性。没有观察到明显的交叉反应。</w:t>
      </w:r>
      <w:bookmarkStart w:id="21" w:name="_Toc164420473"/>
    </w:p>
    <w:p w14:paraId="1765A6E0">
      <w:pPr>
        <w:pStyle w:val="10"/>
        <w:rPr>
          <w:rFonts w:hint="eastAsia"/>
          <w:color w:val="000000" w:themeColor="text1"/>
          <w14:textFill>
            <w14:solidFill>
              <w14:schemeClr w14:val="tx1"/>
            </w14:solidFill>
          </w14:textFill>
        </w:rPr>
      </w:pPr>
      <w:r>
        <w:rPr>
          <w:rFonts w:hint="eastAsia"/>
          <w:color w:val="000000" w:themeColor="text1"/>
          <w:u w:val="single"/>
          <w14:textFill>
            <w14:solidFill>
              <w14:schemeClr w14:val="tx1"/>
            </w14:solidFill>
          </w14:textFill>
        </w:rPr>
        <w:t>参考文献</w:t>
      </w:r>
      <w:bookmarkEnd w:id="21"/>
      <w:r>
        <w:rPr>
          <w:color w:val="000000" w:themeColor="text1"/>
          <w14:textFill>
            <w14:solidFill>
              <w14:schemeClr w14:val="tx1"/>
            </w14:solidFill>
          </w14:textFill>
        </w:rPr>
        <w:t xml:space="preserve"> </w:t>
      </w:r>
      <w:r>
        <w:rPr>
          <w:color w:val="000000" w:themeColor="text1"/>
          <w14:textFill>
            <w14:solidFill>
              <w14:schemeClr w14:val="tx1"/>
            </w14:solidFill>
          </w14:textFill>
        </w:rPr>
        <w:br w:type="textWrapping"/>
      </w:r>
    </w:p>
    <w:p w14:paraId="31BF8A9C">
      <w:pPr>
        <w:rPr>
          <w:color w:val="E46C0A" w:themeColor="accent6" w:themeShade="BF"/>
        </w:rPr>
      </w:pPr>
    </w:p>
    <w:p w14:paraId="1C355518">
      <w:pPr>
        <w:pStyle w:val="17"/>
        <w:jc w:val="center"/>
        <w:rPr>
          <w:rFonts w:hint="eastAsia" w:ascii="微软雅黑" w:hAnsi="微软雅黑" w:eastAsia="微软雅黑"/>
        </w:rPr>
      </w:pPr>
      <w:r>
        <w:drawing>
          <wp:inline distT="0" distB="0" distL="0" distR="0">
            <wp:extent cx="8001635" cy="6142355"/>
            <wp:effectExtent l="0" t="3810" r="0" b="0"/>
            <wp:docPr id="89276792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767922" name="图片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rot="16200000">
                      <a:off x="0" y="0"/>
                      <a:ext cx="8026006" cy="6161338"/>
                    </a:xfrm>
                    <a:prstGeom prst="rect">
                      <a:avLst/>
                    </a:prstGeom>
                    <a:noFill/>
                    <a:ln>
                      <a:noFill/>
                    </a:ln>
                  </pic:spPr>
                </pic:pic>
              </a:graphicData>
            </a:graphic>
          </wp:inline>
        </w:drawing>
      </w:r>
    </w:p>
    <w:p w14:paraId="450E4C11">
      <w:pPr>
        <w:pStyle w:val="24"/>
        <w:ind w:firstLine="400"/>
        <w:rPr>
          <w:rFonts w:hint="eastAsia" w:ascii="微软雅黑" w:hAnsi="微软雅黑" w:eastAsia="微软雅黑"/>
          <w:b/>
          <w:bCs/>
          <w:color w:val="00B050"/>
          <w:sz w:val="20"/>
          <w:szCs w:val="20"/>
        </w:rPr>
      </w:pPr>
    </w:p>
    <w:p w14:paraId="3A0E7B91">
      <w:pPr>
        <w:pStyle w:val="24"/>
        <w:rPr>
          <w:rFonts w:hint="eastAsia" w:ascii="微软雅黑" w:hAnsi="微软雅黑" w:eastAsia="微软雅黑"/>
          <w:b/>
          <w:bCs/>
          <w:sz w:val="28"/>
          <w:szCs w:val="28"/>
        </w:rPr>
      </w:pPr>
    </w:p>
    <w:p w14:paraId="58A74636">
      <w:pPr>
        <w:pStyle w:val="24"/>
        <w:rPr>
          <w:rFonts w:hint="eastAsia" w:ascii="微软雅黑" w:hAnsi="微软雅黑" w:eastAsia="微软雅黑"/>
          <w:b/>
          <w:bCs/>
          <w:sz w:val="30"/>
          <w:szCs w:val="30"/>
        </w:rPr>
      </w:pPr>
      <w:r>
        <w:rPr>
          <w:rFonts w:hint="eastAsia" w:ascii="微软雅黑" w:hAnsi="微软雅黑" w:eastAsia="微软雅黑"/>
          <w:b/>
          <w:bCs/>
          <w:sz w:val="30"/>
          <w:szCs w:val="30"/>
        </w:rPr>
        <w:t>生产企业</w:t>
      </w:r>
      <w:r>
        <w:rPr>
          <w:rFonts w:ascii="微软雅黑" w:hAnsi="微软雅黑" w:eastAsia="微软雅黑"/>
          <w:b/>
          <w:bCs/>
          <w:sz w:val="30"/>
          <w:szCs w:val="30"/>
        </w:rPr>
        <w:t xml:space="preserve">: </w:t>
      </w:r>
      <w:r>
        <w:rPr>
          <w:rFonts w:hint="eastAsia" w:ascii="微软雅黑" w:hAnsi="微软雅黑" w:eastAsia="微软雅黑"/>
          <w:b/>
          <w:bCs/>
          <w:sz w:val="30"/>
          <w:szCs w:val="30"/>
        </w:rPr>
        <w:t>上海通蔚实业有限公司</w:t>
      </w:r>
    </w:p>
    <w:p w14:paraId="243D6BF9">
      <w:pPr>
        <w:pStyle w:val="17"/>
      </w:pPr>
    </w:p>
    <w:p w14:paraId="6363E794">
      <w:pPr>
        <w:pStyle w:val="24"/>
        <w:rPr>
          <w:rFonts w:hint="eastAsia" w:ascii="微软雅黑" w:hAnsi="微软雅黑" w:eastAsia="微软雅黑"/>
          <w:b/>
          <w:bCs/>
          <w:sz w:val="30"/>
          <w:szCs w:val="30"/>
        </w:rPr>
      </w:pPr>
      <w:r>
        <w:rPr>
          <w:rFonts w:hint="eastAsia" w:ascii="微软雅黑" w:hAnsi="微软雅黑" w:eastAsia="微软雅黑"/>
          <w:b/>
          <w:bCs/>
          <w:sz w:val="30"/>
          <w:szCs w:val="30"/>
        </w:rPr>
        <w:t>公司地址：上海市松江区九亭镇研展路158弄15号1603</w:t>
      </w:r>
    </w:p>
    <w:p w14:paraId="0AB7F47B">
      <w:pPr>
        <w:pStyle w:val="17"/>
      </w:pPr>
    </w:p>
    <w:p w14:paraId="4E2AD2BF">
      <w:pPr>
        <w:pStyle w:val="24"/>
        <w:rPr>
          <w:rFonts w:hint="eastAsia" w:ascii="微软雅黑" w:hAnsi="微软雅黑" w:eastAsia="微软雅黑"/>
          <w:b/>
          <w:bCs/>
          <w:sz w:val="30"/>
          <w:szCs w:val="30"/>
        </w:rPr>
      </w:pPr>
      <w:r>
        <w:rPr>
          <w:rFonts w:hint="eastAsia" w:ascii="微软雅黑" w:hAnsi="微软雅黑" w:eastAsia="微软雅黑"/>
          <w:b/>
          <w:bCs/>
          <w:sz w:val="30"/>
          <w:szCs w:val="30"/>
        </w:rPr>
        <w:t>公司电话：021-54845833</w:t>
      </w:r>
    </w:p>
    <w:p w14:paraId="5BE3CED7">
      <w:pPr>
        <w:pStyle w:val="17"/>
      </w:pPr>
    </w:p>
    <w:p w14:paraId="4D82E5B2">
      <w:pPr>
        <w:pStyle w:val="24"/>
        <w:rPr>
          <w:rFonts w:hint="eastAsia" w:ascii="微软雅黑" w:hAnsi="微软雅黑" w:eastAsia="微软雅黑"/>
          <w:b/>
          <w:bCs/>
          <w:sz w:val="30"/>
          <w:szCs w:val="30"/>
        </w:rPr>
      </w:pPr>
      <w:r>
        <w:rPr>
          <w:rFonts w:hint="eastAsia" w:ascii="微软雅黑" w:hAnsi="微软雅黑" w:eastAsia="微软雅黑"/>
          <w:b/>
          <w:bCs/>
          <w:sz w:val="30"/>
          <w:szCs w:val="30"/>
        </w:rPr>
        <w:t>技术支持：15800441009</w:t>
      </w:r>
    </w:p>
    <w:sectPr>
      <w:headerReference r:id="rId3" w:type="default"/>
      <w:footerReference r:id="rId5" w:type="default"/>
      <w:headerReference r:id="rId4" w:type="even"/>
      <w:footerReference r:id="rId6" w:type="even"/>
      <w:type w:val="continuous"/>
      <w:pgSz w:w="12240" w:h="15840"/>
      <w:pgMar w:top="1247" w:right="658" w:bottom="1162" w:left="839" w:header="283" w:footer="0" w:gutter="0"/>
      <w:cols w:space="720" w:num="1"/>
      <w:docGrid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琥珀">
    <w:panose1 w:val="02010800040101010101"/>
    <w:charset w:val="86"/>
    <w:family w:val="auto"/>
    <w:pitch w:val="default"/>
    <w:sig w:usb0="00000001" w:usb1="080F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Myriad Pro Cond">
    <w:altName w:val="宋体"/>
    <w:panose1 w:val="020B0506030403020204"/>
    <w:charset w:val="86"/>
    <w:family w:val="swiss"/>
    <w:pitch w:val="default"/>
    <w:sig w:usb0="00000000" w:usb1="00000000" w:usb2="00000000" w:usb3="00000000" w:csb0="2000019F" w:csb1="00000000"/>
  </w:font>
  <w:font w:name="方正舒体">
    <w:panose1 w:val="02010601030101010101"/>
    <w:charset w:val="86"/>
    <w:family w:val="auto"/>
    <w:pitch w:val="default"/>
    <w:sig w:usb0="00000003" w:usb1="080E0000" w:usb2="00000000" w:usb3="00000000" w:csb0="00040000" w:csb1="00000000"/>
  </w:font>
  <w:font w:name="Myriad Pro">
    <w:altName w:val="宋体"/>
    <w:panose1 w:val="020B0503030403020204"/>
    <w:charset w:val="86"/>
    <w:family w:val="swiss"/>
    <w:pitch w:val="default"/>
    <w:sig w:usb0="00000000" w:usb1="00000000" w:usb2="00000000" w:usb3="00000000" w:csb0="2000019F" w:csb1="00000000"/>
  </w:font>
  <w:font w:name="汉仪雅酷黑简">
    <w:altName w:val="黑体"/>
    <w:panose1 w:val="00020600040101010101"/>
    <w:charset w:val="86"/>
    <w:family w:val="auto"/>
    <w:pitch w:val="default"/>
    <w:sig w:usb0="00000000" w:usb1="00000000" w:usb2="00000016" w:usb3="00000000" w:csb0="0004009F" w:csb1="DFD7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7762B">
    <w:pPr>
      <w:pStyle w:val="6"/>
      <w:rPr>
        <w:color w:val="E46C0A" w:themeColor="accent6" w:themeShade="BF"/>
      </w:rPr>
    </w:pPr>
  </w:p>
  <w:p w14:paraId="678D8FD7">
    <w:pPr>
      <w:pStyle w:val="6"/>
      <w:tabs>
        <w:tab w:val="left" w:pos="301"/>
        <w:tab w:val="clear" w:pos="4153"/>
      </w:tabs>
      <w:rPr>
        <w:rFonts w:hint="eastAsia" w:eastAsia="华文琥珀"/>
        <w:color w:val="E46C0A" w:themeColor="accent6" w:themeShade="BF"/>
        <w:lang w:eastAsia="zh-CN"/>
      </w:rPr>
    </w:pPr>
    <w:r>
      <w:rPr>
        <w:color w:val="auto"/>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-17145</wp:posOffset>
              </wp:positionV>
              <wp:extent cx="6813550" cy="0"/>
              <wp:effectExtent l="0" t="4445" r="6350" b="5080"/>
              <wp:wrapNone/>
              <wp:docPr id="5" name="自选图形 3"/>
              <wp:cNvGraphicFramePr/>
              <a:graphic xmlns:a="http://schemas.openxmlformats.org/drawingml/2006/main">
                <a:graphicData uri="http://schemas.microsoft.com/office/word/2010/wordprocessingShape">
                  <wps:wsp>
                    <wps:cNvCnPr/>
                    <wps:spPr>
                      <a:xfrm>
                        <a:off x="0" y="0"/>
                        <a:ext cx="68135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0.05pt;margin-top:-1.35pt;height:0pt;width:536.5pt;z-index:251659264;mso-width-relative:page;mso-height-relative:page;" filled="f" stroked="t" coordsize="21600,21600" o:gfxdata="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CNMu/TAAAABwEAAA8AAAAAAAAAAQAgAAAAIgAAAGRycy9kb3ducmV2LnhtbFBLAQIUABQA&#10;AAAIAIdO4kDhiOE19QEAAOMDAAAOAAAAAAAAAAEAIAAAACIBAABkcnMvZTJvRG9jLnhtbFBLBQYA&#10;AAAABgAGAFkBAACJBQAAAAA=&#10;">
              <v:fill on="f" focussize="0,0"/>
              <v:stroke color="#000000" joinstyle="round"/>
              <v:imagedata o:title=""/>
              <o:lock v:ext="edit" aspectratio="f"/>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25958">
    <w:pPr>
      <w:pStyle w:val="6"/>
      <w:rPr>
        <w:color w:val="E46C0A" w:themeColor="accent6" w:themeShade="BF"/>
      </w:rPr>
    </w:pPr>
  </w:p>
  <w:p w14:paraId="3FFA3C7E">
    <w:pPr>
      <w:rPr>
        <w:color w:val="E46C0A" w:themeColor="accent6" w:themeShade="BF"/>
      </w:rPr>
    </w:pPr>
  </w:p>
  <w:p w14:paraId="7DEF7819">
    <w:pPr>
      <w:rPr>
        <w:color w:val="E46C0A" w:themeColor="accent6" w:themeShade="BF"/>
      </w:rPr>
    </w:pPr>
  </w:p>
  <w:p w14:paraId="66DF5E7A">
    <w:pPr>
      <w:rPr>
        <w:color w:val="E46C0A" w:themeColor="accent6" w:themeShade="BF"/>
      </w:rPr>
    </w:pPr>
  </w:p>
  <w:p w14:paraId="223850DA">
    <w:pPr>
      <w:rPr>
        <w:color w:val="E46C0A" w:themeColor="accent6" w:themeShade="BF"/>
      </w:rPr>
    </w:pPr>
  </w:p>
  <w:p w14:paraId="65828F90">
    <w:pPr>
      <w:rPr>
        <w:color w:val="E46C0A" w:themeColor="accent6" w:themeShade="BF"/>
      </w:rPr>
    </w:pPr>
  </w:p>
  <w:p w14:paraId="5CCA7561">
    <w:pPr>
      <w:rPr>
        <w:color w:val="E46C0A" w:themeColor="accent6" w:themeShade="BF"/>
      </w:rPr>
    </w:pPr>
  </w:p>
  <w:p w14:paraId="5E0603EC">
    <w:pPr>
      <w:rPr>
        <w:color w:val="E46C0A" w:themeColor="accent6" w:themeShade="BF"/>
      </w:rPr>
    </w:pPr>
  </w:p>
  <w:p w14:paraId="27D14DFA">
    <w:pPr>
      <w:rPr>
        <w:color w:val="E46C0A" w:themeColor="accent6" w:themeShade="BF"/>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7797B">
    <w:pPr>
      <w:pStyle w:val="4"/>
      <w:bidi w:val="0"/>
      <w:rPr>
        <w:b w:val="0"/>
        <w:bCs/>
        <w:color w:val="FABF8F" w:themeColor="accent6" w:themeTint="99"/>
        <w14:textFill>
          <w14:gradFill>
            <w14:gsLst>
              <w14:gs w14:pos="50000">
                <w14:schemeClr w14:val="accent6"/>
              </w14:gs>
              <w14:gs w14:pos="0">
                <w14:schemeClr w14:val="accent6">
                  <w14:lumMod w14:val="25000"/>
                  <w14:lumOff w14:val="75000"/>
                </w14:schemeClr>
              </w14:gs>
              <w14:gs w14:pos="100000">
                <w14:schemeClr w14:val="accent6">
                  <w14:lumMod w14:val="85000"/>
                </w14:schemeClr>
              </w14:gs>
            </w14:gsLst>
            <w14:lin w14:ang="5400000" w14:scaled="1"/>
          </w14:gradFill>
        </w14:textFill>
      </w:rPr>
    </w:pPr>
    <w:r>
      <w:rPr>
        <w:rFonts w:hint="eastAsia"/>
        <w:b w:val="0"/>
        <w:bCs/>
        <w:color w:val="FABF8F" w:themeColor="accent6" w:themeTint="99"/>
        <w14:textFill>
          <w14:gradFill>
            <w14:gsLst>
              <w14:gs w14:pos="50000">
                <w14:schemeClr w14:val="accent6"/>
              </w14:gs>
              <w14:gs w14:pos="0">
                <w14:schemeClr w14:val="accent6">
                  <w14:lumMod w14:val="25000"/>
                  <w14:lumOff w14:val="75000"/>
                </w14:schemeClr>
              </w14:gs>
              <w14:gs w14:pos="100000">
                <w14:schemeClr w14:val="accent6">
                  <w14:lumMod w14:val="85000"/>
                </w14:schemeClr>
              </w14:gs>
            </w14:gsLst>
            <w14:lin w14:ang="5400000" w14:scaled="1"/>
          </w14:gradFill>
        </w14:textFill>
      </w:rPr>
      <w:t>上海通尉</w:t>
    </w:r>
  </w:p>
  <w:p w14:paraId="66AC484F">
    <w:pPr>
      <w:spacing w:line="240" w:lineRule="auto"/>
      <w:ind w:firstLine="8854" w:firstLineChars="4200"/>
      <w:rPr>
        <w:rFonts w:hint="eastAsia" w:ascii="汉仪雅酷黑简" w:hAnsi="汉仪雅酷黑简" w:eastAsia="汉仪雅酷黑简" w:cs="汉仪雅酷黑简"/>
        <w:color w:val="0070C0"/>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7FF79">
    <w:pPr>
      <w:pStyle w:val="7"/>
      <w:rPr>
        <w:color w:val="E46C0A" w:themeColor="accent6" w:themeShade="BF"/>
      </w:rPr>
    </w:pPr>
  </w:p>
  <w:p w14:paraId="6A10B499">
    <w:pPr>
      <w:rPr>
        <w:color w:val="E46C0A" w:themeColor="accent6" w:themeShade="BF"/>
      </w:rPr>
    </w:pPr>
  </w:p>
  <w:p w14:paraId="1DED4426">
    <w:pPr>
      <w:rPr>
        <w:color w:val="E46C0A" w:themeColor="accent6" w:themeShade="BF"/>
      </w:rPr>
    </w:pPr>
  </w:p>
  <w:p w14:paraId="325C353B">
    <w:pPr>
      <w:rPr>
        <w:color w:val="E46C0A" w:themeColor="accent6" w:themeShade="BF"/>
      </w:rPr>
    </w:pPr>
  </w:p>
  <w:p w14:paraId="1672E098">
    <w:pPr>
      <w:rPr>
        <w:color w:val="E46C0A" w:themeColor="accent6" w:themeShade="BF"/>
      </w:rPr>
    </w:pPr>
  </w:p>
  <w:p w14:paraId="501ED79F">
    <w:pPr>
      <w:rPr>
        <w:color w:val="E46C0A" w:themeColor="accent6" w:themeShade="BF"/>
      </w:rPr>
    </w:pPr>
  </w:p>
  <w:p w14:paraId="4A42D5A3">
    <w:pPr>
      <w:rPr>
        <w:color w:val="E46C0A" w:themeColor="accent6" w:themeShade="BF"/>
      </w:rPr>
    </w:pPr>
  </w:p>
  <w:p w14:paraId="010AB71E">
    <w:pPr>
      <w:rPr>
        <w:color w:val="E46C0A" w:themeColor="accent6" w:themeShade="BF"/>
      </w:rPr>
    </w:pPr>
  </w:p>
  <w:p w14:paraId="131FB8C4">
    <w:pPr>
      <w:rPr>
        <w:color w:val="E46C0A" w:themeColor="accent6" w:themeShade="B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007087"/>
    <w:multiLevelType w:val="multilevel"/>
    <w:tmpl w:val="1F007087"/>
    <w:lvl w:ilvl="0" w:tentative="0">
      <w:start w:val="1"/>
      <w:numFmt w:val="decimal"/>
      <w:lvlText w:val="%1."/>
      <w:lvlJc w:val="left"/>
      <w:pPr>
        <w:ind w:left="720" w:hanging="720"/>
      </w:pPr>
      <w:rPr>
        <w:rFonts w:ascii="微软雅黑" w:hAnsi="微软雅黑" w:eastAsia="微软雅黑" w:cs="Myriad Pro"/>
        <w:sz w:val="28"/>
        <w:szCs w:val="28"/>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7892521D"/>
    <w:multiLevelType w:val="multilevel"/>
    <w:tmpl w:val="7892521D"/>
    <w:lvl w:ilvl="0" w:tentative="0">
      <w:start w:val="1"/>
      <w:numFmt w:val="bullet"/>
      <w:lvlText w:val=""/>
      <w:lvlJc w:val="left"/>
      <w:pPr>
        <w:ind w:left="-320" w:hanging="420"/>
      </w:pPr>
      <w:rPr>
        <w:rFonts w:hint="default" w:ascii="Wingdings" w:hAnsi="Wingdings"/>
      </w:rPr>
    </w:lvl>
    <w:lvl w:ilvl="1" w:tentative="0">
      <w:start w:val="1"/>
      <w:numFmt w:val="bullet"/>
      <w:lvlText w:val=""/>
      <w:lvlJc w:val="left"/>
      <w:pPr>
        <w:ind w:left="100" w:hanging="420"/>
      </w:pPr>
      <w:rPr>
        <w:rFonts w:hint="default" w:ascii="Wingdings" w:hAnsi="Wingdings"/>
      </w:rPr>
    </w:lvl>
    <w:lvl w:ilvl="2" w:tentative="0">
      <w:start w:val="1"/>
      <w:numFmt w:val="bullet"/>
      <w:lvlText w:val=""/>
      <w:lvlJc w:val="left"/>
      <w:pPr>
        <w:ind w:left="520" w:hanging="420"/>
      </w:pPr>
      <w:rPr>
        <w:rFonts w:hint="default" w:ascii="Wingdings" w:hAnsi="Wingdings"/>
      </w:rPr>
    </w:lvl>
    <w:lvl w:ilvl="3" w:tentative="0">
      <w:start w:val="1"/>
      <w:numFmt w:val="bullet"/>
      <w:lvlText w:val=""/>
      <w:lvlJc w:val="left"/>
      <w:pPr>
        <w:ind w:left="940" w:hanging="420"/>
      </w:pPr>
      <w:rPr>
        <w:rFonts w:hint="default" w:ascii="Wingdings" w:hAnsi="Wingdings"/>
      </w:rPr>
    </w:lvl>
    <w:lvl w:ilvl="4" w:tentative="0">
      <w:start w:val="1"/>
      <w:numFmt w:val="bullet"/>
      <w:lvlText w:val=""/>
      <w:lvlJc w:val="left"/>
      <w:pPr>
        <w:ind w:left="1360" w:hanging="420"/>
      </w:pPr>
      <w:rPr>
        <w:rFonts w:hint="default" w:ascii="Wingdings" w:hAnsi="Wingdings"/>
      </w:rPr>
    </w:lvl>
    <w:lvl w:ilvl="5" w:tentative="0">
      <w:start w:val="1"/>
      <w:numFmt w:val="bullet"/>
      <w:lvlText w:val=""/>
      <w:lvlJc w:val="left"/>
      <w:pPr>
        <w:ind w:left="1780" w:hanging="420"/>
      </w:pPr>
      <w:rPr>
        <w:rFonts w:hint="default" w:ascii="Wingdings" w:hAnsi="Wingdings"/>
      </w:rPr>
    </w:lvl>
    <w:lvl w:ilvl="6" w:tentative="0">
      <w:start w:val="1"/>
      <w:numFmt w:val="bullet"/>
      <w:lvlText w:val=""/>
      <w:lvlJc w:val="left"/>
      <w:pPr>
        <w:ind w:left="2200" w:hanging="420"/>
      </w:pPr>
      <w:rPr>
        <w:rFonts w:hint="default" w:ascii="Wingdings" w:hAnsi="Wingdings"/>
      </w:rPr>
    </w:lvl>
    <w:lvl w:ilvl="7" w:tentative="0">
      <w:start w:val="1"/>
      <w:numFmt w:val="bullet"/>
      <w:lvlText w:val=""/>
      <w:lvlJc w:val="left"/>
      <w:pPr>
        <w:ind w:left="2620" w:hanging="420"/>
      </w:pPr>
      <w:rPr>
        <w:rFonts w:hint="default" w:ascii="Wingdings" w:hAnsi="Wingdings"/>
      </w:rPr>
    </w:lvl>
    <w:lvl w:ilvl="8" w:tentative="0">
      <w:start w:val="1"/>
      <w:numFmt w:val="bullet"/>
      <w:lvlText w:val=""/>
      <w:lvlJc w:val="left"/>
      <w:pPr>
        <w:ind w:left="304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NotTrackMoves/>
  <w:documentProtection w:enforcement="0"/>
  <w:defaultTabStop w:val="720"/>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lMGJmMGQyZWM0NjcwZmI3MzVmMmZmY2U1ZGFjOWQifQ=="/>
  </w:docVars>
  <w:rsids>
    <w:rsidRoot w:val="00B12AEF"/>
    <w:rsid w:val="00002983"/>
    <w:rsid w:val="00010BEE"/>
    <w:rsid w:val="00010EC3"/>
    <w:rsid w:val="00025A39"/>
    <w:rsid w:val="00040E68"/>
    <w:rsid w:val="0004426E"/>
    <w:rsid w:val="00053C68"/>
    <w:rsid w:val="00055794"/>
    <w:rsid w:val="000A0C8A"/>
    <w:rsid w:val="000B5599"/>
    <w:rsid w:val="000B69EC"/>
    <w:rsid w:val="000E07DC"/>
    <w:rsid w:val="000F4ECC"/>
    <w:rsid w:val="00113EB4"/>
    <w:rsid w:val="00114206"/>
    <w:rsid w:val="001471CF"/>
    <w:rsid w:val="00184646"/>
    <w:rsid w:val="00192DF3"/>
    <w:rsid w:val="001B0146"/>
    <w:rsid w:val="001C5681"/>
    <w:rsid w:val="001C6F49"/>
    <w:rsid w:val="001D7D7B"/>
    <w:rsid w:val="001F320F"/>
    <w:rsid w:val="002043AB"/>
    <w:rsid w:val="002179D0"/>
    <w:rsid w:val="00273226"/>
    <w:rsid w:val="00292C25"/>
    <w:rsid w:val="00296EA3"/>
    <w:rsid w:val="002A5BB1"/>
    <w:rsid w:val="002A7598"/>
    <w:rsid w:val="002C39D4"/>
    <w:rsid w:val="002D2A33"/>
    <w:rsid w:val="002F1566"/>
    <w:rsid w:val="002F1E5B"/>
    <w:rsid w:val="00304439"/>
    <w:rsid w:val="00317CD2"/>
    <w:rsid w:val="00322C5C"/>
    <w:rsid w:val="00323EA2"/>
    <w:rsid w:val="0032409E"/>
    <w:rsid w:val="003302AF"/>
    <w:rsid w:val="00334541"/>
    <w:rsid w:val="00335EFD"/>
    <w:rsid w:val="0035186F"/>
    <w:rsid w:val="00360DD4"/>
    <w:rsid w:val="00367EE7"/>
    <w:rsid w:val="00377E3B"/>
    <w:rsid w:val="0038384D"/>
    <w:rsid w:val="003A13F3"/>
    <w:rsid w:val="003C7C9D"/>
    <w:rsid w:val="003F19E4"/>
    <w:rsid w:val="003F60D9"/>
    <w:rsid w:val="004033E3"/>
    <w:rsid w:val="004420F0"/>
    <w:rsid w:val="00454F6F"/>
    <w:rsid w:val="00456A1A"/>
    <w:rsid w:val="00457360"/>
    <w:rsid w:val="00471A80"/>
    <w:rsid w:val="00473634"/>
    <w:rsid w:val="004A41D9"/>
    <w:rsid w:val="004B3A81"/>
    <w:rsid w:val="004F15EF"/>
    <w:rsid w:val="004F367A"/>
    <w:rsid w:val="004F7918"/>
    <w:rsid w:val="0053738B"/>
    <w:rsid w:val="00557D50"/>
    <w:rsid w:val="005729DE"/>
    <w:rsid w:val="005A249A"/>
    <w:rsid w:val="005A74A0"/>
    <w:rsid w:val="005C2369"/>
    <w:rsid w:val="005D5804"/>
    <w:rsid w:val="005D66CB"/>
    <w:rsid w:val="0060245E"/>
    <w:rsid w:val="00605494"/>
    <w:rsid w:val="006321ED"/>
    <w:rsid w:val="006368D1"/>
    <w:rsid w:val="00660D7B"/>
    <w:rsid w:val="006639C9"/>
    <w:rsid w:val="00670A62"/>
    <w:rsid w:val="0068180D"/>
    <w:rsid w:val="00683286"/>
    <w:rsid w:val="0069134F"/>
    <w:rsid w:val="0069304C"/>
    <w:rsid w:val="006A7974"/>
    <w:rsid w:val="006C762B"/>
    <w:rsid w:val="006D20C5"/>
    <w:rsid w:val="006F3360"/>
    <w:rsid w:val="00712935"/>
    <w:rsid w:val="00727370"/>
    <w:rsid w:val="00747246"/>
    <w:rsid w:val="00771589"/>
    <w:rsid w:val="007847DE"/>
    <w:rsid w:val="007875C8"/>
    <w:rsid w:val="00790E48"/>
    <w:rsid w:val="00792E29"/>
    <w:rsid w:val="007B3F16"/>
    <w:rsid w:val="007B7CB9"/>
    <w:rsid w:val="007C0DCF"/>
    <w:rsid w:val="007D4703"/>
    <w:rsid w:val="007D5ECC"/>
    <w:rsid w:val="008152AA"/>
    <w:rsid w:val="00824D4E"/>
    <w:rsid w:val="00837F28"/>
    <w:rsid w:val="0086066C"/>
    <w:rsid w:val="00864A16"/>
    <w:rsid w:val="0086786C"/>
    <w:rsid w:val="00880A0C"/>
    <w:rsid w:val="0088361C"/>
    <w:rsid w:val="008913D0"/>
    <w:rsid w:val="008C4D3D"/>
    <w:rsid w:val="008D1F18"/>
    <w:rsid w:val="008E077A"/>
    <w:rsid w:val="009033D7"/>
    <w:rsid w:val="00906D9A"/>
    <w:rsid w:val="00907FE5"/>
    <w:rsid w:val="00926D7C"/>
    <w:rsid w:val="009471E4"/>
    <w:rsid w:val="00962CCA"/>
    <w:rsid w:val="00962EB9"/>
    <w:rsid w:val="009703F0"/>
    <w:rsid w:val="00977555"/>
    <w:rsid w:val="00987304"/>
    <w:rsid w:val="00992EEE"/>
    <w:rsid w:val="009A63FF"/>
    <w:rsid w:val="009B318C"/>
    <w:rsid w:val="009C4735"/>
    <w:rsid w:val="009D6ACE"/>
    <w:rsid w:val="009E2BAB"/>
    <w:rsid w:val="009E396E"/>
    <w:rsid w:val="009E685A"/>
    <w:rsid w:val="00A3425A"/>
    <w:rsid w:val="00A35254"/>
    <w:rsid w:val="00A371B7"/>
    <w:rsid w:val="00A37598"/>
    <w:rsid w:val="00A43AA9"/>
    <w:rsid w:val="00A445E1"/>
    <w:rsid w:val="00A77ECC"/>
    <w:rsid w:val="00A86DD9"/>
    <w:rsid w:val="00AC41B8"/>
    <w:rsid w:val="00B12AEF"/>
    <w:rsid w:val="00B15B64"/>
    <w:rsid w:val="00B250EE"/>
    <w:rsid w:val="00B464A8"/>
    <w:rsid w:val="00B80A74"/>
    <w:rsid w:val="00B921EE"/>
    <w:rsid w:val="00B9371F"/>
    <w:rsid w:val="00B93E8A"/>
    <w:rsid w:val="00BA2D4B"/>
    <w:rsid w:val="00BA6955"/>
    <w:rsid w:val="00BD02AA"/>
    <w:rsid w:val="00BE454A"/>
    <w:rsid w:val="00BF1F5A"/>
    <w:rsid w:val="00C1271E"/>
    <w:rsid w:val="00C13830"/>
    <w:rsid w:val="00C202E7"/>
    <w:rsid w:val="00C22E97"/>
    <w:rsid w:val="00C326CF"/>
    <w:rsid w:val="00C43F04"/>
    <w:rsid w:val="00C4454A"/>
    <w:rsid w:val="00C46FEB"/>
    <w:rsid w:val="00C54FB2"/>
    <w:rsid w:val="00C55CBC"/>
    <w:rsid w:val="00C772B8"/>
    <w:rsid w:val="00CF6228"/>
    <w:rsid w:val="00D114DD"/>
    <w:rsid w:val="00D347FE"/>
    <w:rsid w:val="00D3483A"/>
    <w:rsid w:val="00D368EE"/>
    <w:rsid w:val="00D46F3E"/>
    <w:rsid w:val="00D8073F"/>
    <w:rsid w:val="00D81232"/>
    <w:rsid w:val="00DD3668"/>
    <w:rsid w:val="00DE67BC"/>
    <w:rsid w:val="00DE7D42"/>
    <w:rsid w:val="00E06CB9"/>
    <w:rsid w:val="00E20D54"/>
    <w:rsid w:val="00E43DC4"/>
    <w:rsid w:val="00E531FF"/>
    <w:rsid w:val="00E70BA9"/>
    <w:rsid w:val="00E762F2"/>
    <w:rsid w:val="00EA7C4B"/>
    <w:rsid w:val="00EB16C5"/>
    <w:rsid w:val="00EB566D"/>
    <w:rsid w:val="00EB5BBB"/>
    <w:rsid w:val="00EB69F5"/>
    <w:rsid w:val="00ED7E88"/>
    <w:rsid w:val="00EE4715"/>
    <w:rsid w:val="00EE668F"/>
    <w:rsid w:val="00F01F9C"/>
    <w:rsid w:val="00F146AE"/>
    <w:rsid w:val="00F40A19"/>
    <w:rsid w:val="00F42EFD"/>
    <w:rsid w:val="00F43A50"/>
    <w:rsid w:val="00F5368F"/>
    <w:rsid w:val="00F76EE4"/>
    <w:rsid w:val="00F8064C"/>
    <w:rsid w:val="00F94124"/>
    <w:rsid w:val="00F94EE2"/>
    <w:rsid w:val="00F96F62"/>
    <w:rsid w:val="00FA0E31"/>
    <w:rsid w:val="00FA6C31"/>
    <w:rsid w:val="00FB30B4"/>
    <w:rsid w:val="00FB501A"/>
    <w:rsid w:val="00FC1ADD"/>
    <w:rsid w:val="00FD7AB2"/>
    <w:rsid w:val="00FE0645"/>
    <w:rsid w:val="00FE3265"/>
    <w:rsid w:val="011B2D5D"/>
    <w:rsid w:val="01314F01"/>
    <w:rsid w:val="015676BF"/>
    <w:rsid w:val="018E7819"/>
    <w:rsid w:val="01A17E4A"/>
    <w:rsid w:val="01B81CE2"/>
    <w:rsid w:val="01B97764"/>
    <w:rsid w:val="01D53811"/>
    <w:rsid w:val="01E150A5"/>
    <w:rsid w:val="0205655E"/>
    <w:rsid w:val="020B5EE9"/>
    <w:rsid w:val="020F249B"/>
    <w:rsid w:val="021567F9"/>
    <w:rsid w:val="02171CFC"/>
    <w:rsid w:val="02661A7B"/>
    <w:rsid w:val="0293294A"/>
    <w:rsid w:val="02A163DC"/>
    <w:rsid w:val="02FC1075"/>
    <w:rsid w:val="03036723"/>
    <w:rsid w:val="0314091A"/>
    <w:rsid w:val="031D702B"/>
    <w:rsid w:val="0329503C"/>
    <w:rsid w:val="03415C77"/>
    <w:rsid w:val="034E77FA"/>
    <w:rsid w:val="03942C15"/>
    <w:rsid w:val="03BA492B"/>
    <w:rsid w:val="03DD3BE6"/>
    <w:rsid w:val="03FE411B"/>
    <w:rsid w:val="045E1BB5"/>
    <w:rsid w:val="04BC79D1"/>
    <w:rsid w:val="04C87066"/>
    <w:rsid w:val="05035BC7"/>
    <w:rsid w:val="051404F4"/>
    <w:rsid w:val="05233EFD"/>
    <w:rsid w:val="052A1E52"/>
    <w:rsid w:val="05425CB5"/>
    <w:rsid w:val="055943D7"/>
    <w:rsid w:val="05BE62FA"/>
    <w:rsid w:val="06535E83"/>
    <w:rsid w:val="070A642C"/>
    <w:rsid w:val="073B24E9"/>
    <w:rsid w:val="0765792F"/>
    <w:rsid w:val="076D05BF"/>
    <w:rsid w:val="07742D6C"/>
    <w:rsid w:val="077A5E70"/>
    <w:rsid w:val="07844961"/>
    <w:rsid w:val="07867E64"/>
    <w:rsid w:val="07971403"/>
    <w:rsid w:val="07EC308B"/>
    <w:rsid w:val="080E48C5"/>
    <w:rsid w:val="08121CF7"/>
    <w:rsid w:val="08302063"/>
    <w:rsid w:val="08352586"/>
    <w:rsid w:val="083D5414"/>
    <w:rsid w:val="0873206B"/>
    <w:rsid w:val="088766C0"/>
    <w:rsid w:val="08945E23"/>
    <w:rsid w:val="08CD39FE"/>
    <w:rsid w:val="08D04983"/>
    <w:rsid w:val="08F62644"/>
    <w:rsid w:val="090B10A0"/>
    <w:rsid w:val="0922698B"/>
    <w:rsid w:val="092D1499"/>
    <w:rsid w:val="093D4FB7"/>
    <w:rsid w:val="093F04BA"/>
    <w:rsid w:val="09611CF3"/>
    <w:rsid w:val="09A920E8"/>
    <w:rsid w:val="09BA2382"/>
    <w:rsid w:val="09F856EA"/>
    <w:rsid w:val="09FD62EE"/>
    <w:rsid w:val="0A9C3205"/>
    <w:rsid w:val="0B1D41C8"/>
    <w:rsid w:val="0BBC40D1"/>
    <w:rsid w:val="0BDE6804"/>
    <w:rsid w:val="0C0F2856"/>
    <w:rsid w:val="0C223A75"/>
    <w:rsid w:val="0C853B1A"/>
    <w:rsid w:val="0CA81750"/>
    <w:rsid w:val="0D051AEA"/>
    <w:rsid w:val="0D47686C"/>
    <w:rsid w:val="0D934BD1"/>
    <w:rsid w:val="0DBC1618"/>
    <w:rsid w:val="0DC444A6"/>
    <w:rsid w:val="0DCB3E31"/>
    <w:rsid w:val="0DE15FD5"/>
    <w:rsid w:val="0E2E2851"/>
    <w:rsid w:val="0E405FEE"/>
    <w:rsid w:val="0E46377B"/>
    <w:rsid w:val="0E467EF7"/>
    <w:rsid w:val="0E681731"/>
    <w:rsid w:val="0E9D4189"/>
    <w:rsid w:val="0F1C6C56"/>
    <w:rsid w:val="0F1F7BDB"/>
    <w:rsid w:val="0F4B55A7"/>
    <w:rsid w:val="0F7D37F7"/>
    <w:rsid w:val="0FB726D8"/>
    <w:rsid w:val="0FCC6DFA"/>
    <w:rsid w:val="0FE30C1D"/>
    <w:rsid w:val="10112F5C"/>
    <w:rsid w:val="105A7962"/>
    <w:rsid w:val="105D08E7"/>
    <w:rsid w:val="1077526D"/>
    <w:rsid w:val="10B73A61"/>
    <w:rsid w:val="10DF7BBC"/>
    <w:rsid w:val="11097188"/>
    <w:rsid w:val="111B1F9F"/>
    <w:rsid w:val="11456666"/>
    <w:rsid w:val="11953E67"/>
    <w:rsid w:val="1197736A"/>
    <w:rsid w:val="11C336B1"/>
    <w:rsid w:val="11D648D0"/>
    <w:rsid w:val="11EA1373"/>
    <w:rsid w:val="12714ACF"/>
    <w:rsid w:val="12AB39AF"/>
    <w:rsid w:val="12AC362F"/>
    <w:rsid w:val="12E2190B"/>
    <w:rsid w:val="12F02E1F"/>
    <w:rsid w:val="12F108A0"/>
    <w:rsid w:val="12F66D23"/>
    <w:rsid w:val="130B3477"/>
    <w:rsid w:val="135F4757"/>
    <w:rsid w:val="13755ED0"/>
    <w:rsid w:val="144D2D5B"/>
    <w:rsid w:val="1462527F"/>
    <w:rsid w:val="14861FBB"/>
    <w:rsid w:val="149B08DC"/>
    <w:rsid w:val="149D1BE1"/>
    <w:rsid w:val="14BF5618"/>
    <w:rsid w:val="14E05B4D"/>
    <w:rsid w:val="14E9425E"/>
    <w:rsid w:val="154148ED"/>
    <w:rsid w:val="159468F5"/>
    <w:rsid w:val="159D1783"/>
    <w:rsid w:val="15A349BA"/>
    <w:rsid w:val="15AD52A1"/>
    <w:rsid w:val="15C52948"/>
    <w:rsid w:val="162007B4"/>
    <w:rsid w:val="16591B36"/>
    <w:rsid w:val="167329E6"/>
    <w:rsid w:val="168B140C"/>
    <w:rsid w:val="168E458F"/>
    <w:rsid w:val="16AD73C2"/>
    <w:rsid w:val="16B36D4D"/>
    <w:rsid w:val="16EE36AF"/>
    <w:rsid w:val="16F9486B"/>
    <w:rsid w:val="174D36C8"/>
    <w:rsid w:val="17DC7AB4"/>
    <w:rsid w:val="17E91348"/>
    <w:rsid w:val="17EC7D4E"/>
    <w:rsid w:val="17FD7FE9"/>
    <w:rsid w:val="1812470B"/>
    <w:rsid w:val="1831173C"/>
    <w:rsid w:val="18453C60"/>
    <w:rsid w:val="18855139"/>
    <w:rsid w:val="18A6717D"/>
    <w:rsid w:val="18B232E6"/>
    <w:rsid w:val="18E96279"/>
    <w:rsid w:val="18ED3174"/>
    <w:rsid w:val="19051A9D"/>
    <w:rsid w:val="193D63F7"/>
    <w:rsid w:val="19461284"/>
    <w:rsid w:val="19553A9D"/>
    <w:rsid w:val="198B64F6"/>
    <w:rsid w:val="1A04293C"/>
    <w:rsid w:val="1A1773DF"/>
    <w:rsid w:val="1A2950FA"/>
    <w:rsid w:val="1A46575B"/>
    <w:rsid w:val="1A85418F"/>
    <w:rsid w:val="1A915A23"/>
    <w:rsid w:val="1A9966B3"/>
    <w:rsid w:val="1A9A08B1"/>
    <w:rsid w:val="1AA36FC3"/>
    <w:rsid w:val="1AED613D"/>
    <w:rsid w:val="1B057F61"/>
    <w:rsid w:val="1B170CA1"/>
    <w:rsid w:val="1B3020AA"/>
    <w:rsid w:val="1B4310CA"/>
    <w:rsid w:val="1B446B4C"/>
    <w:rsid w:val="1BE069CA"/>
    <w:rsid w:val="1BFB059E"/>
    <w:rsid w:val="1C117199"/>
    <w:rsid w:val="1C151423"/>
    <w:rsid w:val="1C3E0F62"/>
    <w:rsid w:val="1C7E55CF"/>
    <w:rsid w:val="1C7F3050"/>
    <w:rsid w:val="1CDB5968"/>
    <w:rsid w:val="1D0E5DB7"/>
    <w:rsid w:val="1D3B5982"/>
    <w:rsid w:val="1D551DAF"/>
    <w:rsid w:val="1E246E89"/>
    <w:rsid w:val="1EDC0931"/>
    <w:rsid w:val="1EE821C5"/>
    <w:rsid w:val="1F2332A4"/>
    <w:rsid w:val="1F597EFB"/>
    <w:rsid w:val="1F741DA9"/>
    <w:rsid w:val="1FA834FD"/>
    <w:rsid w:val="1FB11C0E"/>
    <w:rsid w:val="1FB42B93"/>
    <w:rsid w:val="1FC30D44"/>
    <w:rsid w:val="1FCA14B3"/>
    <w:rsid w:val="1FCB5347"/>
    <w:rsid w:val="1FE70A63"/>
    <w:rsid w:val="201054AB"/>
    <w:rsid w:val="20453B84"/>
    <w:rsid w:val="20464890"/>
    <w:rsid w:val="205F522A"/>
    <w:rsid w:val="20731CCC"/>
    <w:rsid w:val="20CB235B"/>
    <w:rsid w:val="20E60986"/>
    <w:rsid w:val="21AF5E51"/>
    <w:rsid w:val="22112672"/>
    <w:rsid w:val="223E00D8"/>
    <w:rsid w:val="224A3AD1"/>
    <w:rsid w:val="22954E49"/>
    <w:rsid w:val="22BC2B0B"/>
    <w:rsid w:val="23007D7C"/>
    <w:rsid w:val="23032BD5"/>
    <w:rsid w:val="2361109A"/>
    <w:rsid w:val="236E262C"/>
    <w:rsid w:val="23DD6EAA"/>
    <w:rsid w:val="24101E19"/>
    <w:rsid w:val="245C47B5"/>
    <w:rsid w:val="247B506A"/>
    <w:rsid w:val="24894380"/>
    <w:rsid w:val="249A209C"/>
    <w:rsid w:val="24C663E3"/>
    <w:rsid w:val="25001A40"/>
    <w:rsid w:val="250D5F0D"/>
    <w:rsid w:val="25565C32"/>
    <w:rsid w:val="2579170A"/>
    <w:rsid w:val="25A92259"/>
    <w:rsid w:val="25AA6571"/>
    <w:rsid w:val="25C9278E"/>
    <w:rsid w:val="25D24B4C"/>
    <w:rsid w:val="25E145B1"/>
    <w:rsid w:val="26007873"/>
    <w:rsid w:val="260625F3"/>
    <w:rsid w:val="26082272"/>
    <w:rsid w:val="266D7A18"/>
    <w:rsid w:val="26770328"/>
    <w:rsid w:val="26D74EC9"/>
    <w:rsid w:val="26E563DD"/>
    <w:rsid w:val="26E641FB"/>
    <w:rsid w:val="27066912"/>
    <w:rsid w:val="272571C7"/>
    <w:rsid w:val="273419E0"/>
    <w:rsid w:val="27486482"/>
    <w:rsid w:val="27690BB5"/>
    <w:rsid w:val="27983C83"/>
    <w:rsid w:val="27BC2BBD"/>
    <w:rsid w:val="27DC5671"/>
    <w:rsid w:val="28165FA0"/>
    <w:rsid w:val="28372507"/>
    <w:rsid w:val="28387F89"/>
    <w:rsid w:val="28395A0A"/>
    <w:rsid w:val="28733BB3"/>
    <w:rsid w:val="287A7AF8"/>
    <w:rsid w:val="28CB65FE"/>
    <w:rsid w:val="28F364BD"/>
    <w:rsid w:val="28F925C5"/>
    <w:rsid w:val="294B6B4C"/>
    <w:rsid w:val="296F5A87"/>
    <w:rsid w:val="2972480D"/>
    <w:rsid w:val="29763213"/>
    <w:rsid w:val="29C35511"/>
    <w:rsid w:val="2A575D85"/>
    <w:rsid w:val="2A994270"/>
    <w:rsid w:val="2AC92840"/>
    <w:rsid w:val="2AD640D4"/>
    <w:rsid w:val="2B122C35"/>
    <w:rsid w:val="2B1D22CA"/>
    <w:rsid w:val="2B552424"/>
    <w:rsid w:val="2B7042D3"/>
    <w:rsid w:val="2B747456"/>
    <w:rsid w:val="2B765660"/>
    <w:rsid w:val="2B842F73"/>
    <w:rsid w:val="2B995497"/>
    <w:rsid w:val="2BC05357"/>
    <w:rsid w:val="2BCF42EC"/>
    <w:rsid w:val="2C085AF1"/>
    <w:rsid w:val="2C341A92"/>
    <w:rsid w:val="2C3F7E23"/>
    <w:rsid w:val="2C784B05"/>
    <w:rsid w:val="2CAC6259"/>
    <w:rsid w:val="2CB510E7"/>
    <w:rsid w:val="2CC203FD"/>
    <w:rsid w:val="2D3164B2"/>
    <w:rsid w:val="2D6C20E9"/>
    <w:rsid w:val="2DD15683"/>
    <w:rsid w:val="2DDE1E4E"/>
    <w:rsid w:val="2DEC6BE5"/>
    <w:rsid w:val="2E650E2E"/>
    <w:rsid w:val="2E735BC5"/>
    <w:rsid w:val="2E770D04"/>
    <w:rsid w:val="2E7A2025"/>
    <w:rsid w:val="2EA81517"/>
    <w:rsid w:val="2EB37D0F"/>
    <w:rsid w:val="2EBC3A3B"/>
    <w:rsid w:val="2EF43B94"/>
    <w:rsid w:val="2EFA5A9E"/>
    <w:rsid w:val="2F5B2761"/>
    <w:rsid w:val="2F8A538D"/>
    <w:rsid w:val="2FA539B8"/>
    <w:rsid w:val="2FB177CB"/>
    <w:rsid w:val="2FB32CCE"/>
    <w:rsid w:val="2FEE5530"/>
    <w:rsid w:val="30351FA2"/>
    <w:rsid w:val="303915EE"/>
    <w:rsid w:val="303E6135"/>
    <w:rsid w:val="308F13B7"/>
    <w:rsid w:val="30906E39"/>
    <w:rsid w:val="30EC3CCF"/>
    <w:rsid w:val="30EF04D7"/>
    <w:rsid w:val="30FF6BD0"/>
    <w:rsid w:val="310E7707"/>
    <w:rsid w:val="311B481E"/>
    <w:rsid w:val="313F3759"/>
    <w:rsid w:val="31740730"/>
    <w:rsid w:val="320A66A5"/>
    <w:rsid w:val="320D2EAD"/>
    <w:rsid w:val="32334291"/>
    <w:rsid w:val="326C5C9D"/>
    <w:rsid w:val="327D69E4"/>
    <w:rsid w:val="327E4466"/>
    <w:rsid w:val="32902492"/>
    <w:rsid w:val="329F6B99"/>
    <w:rsid w:val="32C40E4A"/>
    <w:rsid w:val="32DD7D02"/>
    <w:rsid w:val="335B05D1"/>
    <w:rsid w:val="336D3D6E"/>
    <w:rsid w:val="33FB6E55"/>
    <w:rsid w:val="34062C68"/>
    <w:rsid w:val="34180984"/>
    <w:rsid w:val="341E6110"/>
    <w:rsid w:val="34332832"/>
    <w:rsid w:val="346D5E8F"/>
    <w:rsid w:val="34D73340"/>
    <w:rsid w:val="35243365"/>
    <w:rsid w:val="35301450"/>
    <w:rsid w:val="35375BA9"/>
    <w:rsid w:val="353D6568"/>
    <w:rsid w:val="354E4284"/>
    <w:rsid w:val="3554290A"/>
    <w:rsid w:val="35635123"/>
    <w:rsid w:val="356C0D87"/>
    <w:rsid w:val="35CC4B52"/>
    <w:rsid w:val="35E656FC"/>
    <w:rsid w:val="35E7317D"/>
    <w:rsid w:val="3639011F"/>
    <w:rsid w:val="365C69BF"/>
    <w:rsid w:val="36940D18"/>
    <w:rsid w:val="36AC41C0"/>
    <w:rsid w:val="36E6529F"/>
    <w:rsid w:val="370400D2"/>
    <w:rsid w:val="375D4161"/>
    <w:rsid w:val="376F7781"/>
    <w:rsid w:val="379A5652"/>
    <w:rsid w:val="37D913AF"/>
    <w:rsid w:val="38034772"/>
    <w:rsid w:val="38A80783"/>
    <w:rsid w:val="38AE268C"/>
    <w:rsid w:val="38C9453B"/>
    <w:rsid w:val="38DA69D3"/>
    <w:rsid w:val="390C2A26"/>
    <w:rsid w:val="394C5A0D"/>
    <w:rsid w:val="395E6FAD"/>
    <w:rsid w:val="3987236F"/>
    <w:rsid w:val="398E557D"/>
    <w:rsid w:val="399A358E"/>
    <w:rsid w:val="39D5466D"/>
    <w:rsid w:val="39DD52FC"/>
    <w:rsid w:val="3A1B4DE1"/>
    <w:rsid w:val="3A263172"/>
    <w:rsid w:val="3A630A59"/>
    <w:rsid w:val="3A6C38E7"/>
    <w:rsid w:val="3A840F8D"/>
    <w:rsid w:val="3AD0140D"/>
    <w:rsid w:val="3B3D61BD"/>
    <w:rsid w:val="3B425EC8"/>
    <w:rsid w:val="3B6C128B"/>
    <w:rsid w:val="3B863306"/>
    <w:rsid w:val="3B8F5FC8"/>
    <w:rsid w:val="3B954675"/>
    <w:rsid w:val="3BC02F13"/>
    <w:rsid w:val="3C235333"/>
    <w:rsid w:val="3C242C38"/>
    <w:rsid w:val="3C7939C7"/>
    <w:rsid w:val="3CC2763E"/>
    <w:rsid w:val="3CEE0102"/>
    <w:rsid w:val="3D1A7CCD"/>
    <w:rsid w:val="3D7C0D2E"/>
    <w:rsid w:val="3DBC1A54"/>
    <w:rsid w:val="3E071ED4"/>
    <w:rsid w:val="3E1E6276"/>
    <w:rsid w:val="3E6C3DF6"/>
    <w:rsid w:val="3E79568B"/>
    <w:rsid w:val="3E912D31"/>
    <w:rsid w:val="3EF82091"/>
    <w:rsid w:val="3F27452A"/>
    <w:rsid w:val="3F3725C6"/>
    <w:rsid w:val="3F382246"/>
    <w:rsid w:val="3F495D63"/>
    <w:rsid w:val="3F9A3018"/>
    <w:rsid w:val="3FA47376"/>
    <w:rsid w:val="3FE171DB"/>
    <w:rsid w:val="4083548E"/>
    <w:rsid w:val="40D64970"/>
    <w:rsid w:val="40EE0612"/>
    <w:rsid w:val="410E3FFA"/>
    <w:rsid w:val="418E271A"/>
    <w:rsid w:val="41BB44E3"/>
    <w:rsid w:val="41C9127A"/>
    <w:rsid w:val="41CD4604"/>
    <w:rsid w:val="41E50BAA"/>
    <w:rsid w:val="41F33743"/>
    <w:rsid w:val="420133A7"/>
    <w:rsid w:val="420568BC"/>
    <w:rsid w:val="420F77F0"/>
    <w:rsid w:val="42120775"/>
    <w:rsid w:val="42251994"/>
    <w:rsid w:val="424B6350"/>
    <w:rsid w:val="427E58A6"/>
    <w:rsid w:val="42EC5ED9"/>
    <w:rsid w:val="42F454E4"/>
    <w:rsid w:val="42FD3BF5"/>
    <w:rsid w:val="43056A83"/>
    <w:rsid w:val="4376003C"/>
    <w:rsid w:val="438C21E0"/>
    <w:rsid w:val="438D34E4"/>
    <w:rsid w:val="439B6F77"/>
    <w:rsid w:val="439E377F"/>
    <w:rsid w:val="439E6277"/>
    <w:rsid w:val="43A7080B"/>
    <w:rsid w:val="43E01C6A"/>
    <w:rsid w:val="43F63E0D"/>
    <w:rsid w:val="43FA6097"/>
    <w:rsid w:val="43FD3798"/>
    <w:rsid w:val="442C0A64"/>
    <w:rsid w:val="444D62DA"/>
    <w:rsid w:val="446753C6"/>
    <w:rsid w:val="44B6424B"/>
    <w:rsid w:val="44BE5DD5"/>
    <w:rsid w:val="44F11AA7"/>
    <w:rsid w:val="45273DF0"/>
    <w:rsid w:val="452B420A"/>
    <w:rsid w:val="455B0780"/>
    <w:rsid w:val="457C568D"/>
    <w:rsid w:val="45A32BCF"/>
    <w:rsid w:val="45D50E20"/>
    <w:rsid w:val="45F02CCE"/>
    <w:rsid w:val="45F57156"/>
    <w:rsid w:val="4619280E"/>
    <w:rsid w:val="46547170"/>
    <w:rsid w:val="46772BA7"/>
    <w:rsid w:val="467F5A35"/>
    <w:rsid w:val="468C2C29"/>
    <w:rsid w:val="46AB0386"/>
    <w:rsid w:val="470E1FAA"/>
    <w:rsid w:val="476565ED"/>
    <w:rsid w:val="47A97AA1"/>
    <w:rsid w:val="47AA1CA0"/>
    <w:rsid w:val="47B70FB5"/>
    <w:rsid w:val="47F701BB"/>
    <w:rsid w:val="480F7446"/>
    <w:rsid w:val="484C72AA"/>
    <w:rsid w:val="48636ED0"/>
    <w:rsid w:val="486E0AE4"/>
    <w:rsid w:val="487A2378"/>
    <w:rsid w:val="48804DC9"/>
    <w:rsid w:val="488F1019"/>
    <w:rsid w:val="489045DC"/>
    <w:rsid w:val="48B02852"/>
    <w:rsid w:val="48EE7CC4"/>
    <w:rsid w:val="48F92C46"/>
    <w:rsid w:val="4924150C"/>
    <w:rsid w:val="49C0138A"/>
    <w:rsid w:val="49C60D15"/>
    <w:rsid w:val="49D822B4"/>
    <w:rsid w:val="4A152119"/>
    <w:rsid w:val="4A1E2A29"/>
    <w:rsid w:val="4A2645B2"/>
    <w:rsid w:val="4A485DEB"/>
    <w:rsid w:val="4A506A7B"/>
    <w:rsid w:val="4A531BFE"/>
    <w:rsid w:val="4A6A79D4"/>
    <w:rsid w:val="4A7459B6"/>
    <w:rsid w:val="4AC85440"/>
    <w:rsid w:val="4AE301E8"/>
    <w:rsid w:val="4B2E0668"/>
    <w:rsid w:val="4B477F0D"/>
    <w:rsid w:val="4B4D1E16"/>
    <w:rsid w:val="4BBF46D3"/>
    <w:rsid w:val="4BDA0780"/>
    <w:rsid w:val="4BE92720"/>
    <w:rsid w:val="4C085DCC"/>
    <w:rsid w:val="4C186067"/>
    <w:rsid w:val="4C575B4B"/>
    <w:rsid w:val="4C613EDC"/>
    <w:rsid w:val="4C9A533B"/>
    <w:rsid w:val="4CCD100D"/>
    <w:rsid w:val="4CE17CAE"/>
    <w:rsid w:val="4DEC3F83"/>
    <w:rsid w:val="4E0F38E6"/>
    <w:rsid w:val="4E550E94"/>
    <w:rsid w:val="4E5C081F"/>
    <w:rsid w:val="4EBB0839"/>
    <w:rsid w:val="4ED513E2"/>
    <w:rsid w:val="4ED571E4"/>
    <w:rsid w:val="4EF1548F"/>
    <w:rsid w:val="4EF84E1A"/>
    <w:rsid w:val="4F1E08DD"/>
    <w:rsid w:val="4F4971A3"/>
    <w:rsid w:val="4F547732"/>
    <w:rsid w:val="4F9A2425"/>
    <w:rsid w:val="4F9E46AF"/>
    <w:rsid w:val="4FBD484E"/>
    <w:rsid w:val="4FE94B38"/>
    <w:rsid w:val="503B1185"/>
    <w:rsid w:val="5060696B"/>
    <w:rsid w:val="50D84A23"/>
    <w:rsid w:val="50DE63C8"/>
    <w:rsid w:val="511A319E"/>
    <w:rsid w:val="514172DE"/>
    <w:rsid w:val="514733E5"/>
    <w:rsid w:val="51933865"/>
    <w:rsid w:val="51AB5688"/>
    <w:rsid w:val="51BC6B54"/>
    <w:rsid w:val="51DB4405"/>
    <w:rsid w:val="51FC7D96"/>
    <w:rsid w:val="520812A5"/>
    <w:rsid w:val="52283D58"/>
    <w:rsid w:val="52376571"/>
    <w:rsid w:val="528278EA"/>
    <w:rsid w:val="52B04F36"/>
    <w:rsid w:val="52BE5550"/>
    <w:rsid w:val="52CE1F68"/>
    <w:rsid w:val="533573F7"/>
    <w:rsid w:val="533A7098"/>
    <w:rsid w:val="534E3B3B"/>
    <w:rsid w:val="53645CDE"/>
    <w:rsid w:val="537304F7"/>
    <w:rsid w:val="53DF342A"/>
    <w:rsid w:val="53DF5628"/>
    <w:rsid w:val="53E83D39"/>
    <w:rsid w:val="53F41D4A"/>
    <w:rsid w:val="53F47B4C"/>
    <w:rsid w:val="54230EB5"/>
    <w:rsid w:val="54280325"/>
    <w:rsid w:val="54473D53"/>
    <w:rsid w:val="544E36DD"/>
    <w:rsid w:val="54CA432C"/>
    <w:rsid w:val="54F55170"/>
    <w:rsid w:val="551B75AE"/>
    <w:rsid w:val="556357A4"/>
    <w:rsid w:val="55735A3E"/>
    <w:rsid w:val="557547C5"/>
    <w:rsid w:val="558624E1"/>
    <w:rsid w:val="55902DF0"/>
    <w:rsid w:val="55A84B6E"/>
    <w:rsid w:val="55AA0117"/>
    <w:rsid w:val="55BB3C4A"/>
    <w:rsid w:val="566662CB"/>
    <w:rsid w:val="567D02BE"/>
    <w:rsid w:val="56877B05"/>
    <w:rsid w:val="56C51B68"/>
    <w:rsid w:val="57172C57"/>
    <w:rsid w:val="57335A1F"/>
    <w:rsid w:val="57432436"/>
    <w:rsid w:val="576461EE"/>
    <w:rsid w:val="577D4B9A"/>
    <w:rsid w:val="57AE5369"/>
    <w:rsid w:val="57AF7567"/>
    <w:rsid w:val="580524F4"/>
    <w:rsid w:val="58113D88"/>
    <w:rsid w:val="582817AF"/>
    <w:rsid w:val="584026D9"/>
    <w:rsid w:val="584148D8"/>
    <w:rsid w:val="58661294"/>
    <w:rsid w:val="58774DB2"/>
    <w:rsid w:val="58D85145"/>
    <w:rsid w:val="58F86605"/>
    <w:rsid w:val="58FD050E"/>
    <w:rsid w:val="59052F61"/>
    <w:rsid w:val="592D105D"/>
    <w:rsid w:val="59826569"/>
    <w:rsid w:val="59ED369A"/>
    <w:rsid w:val="59F477A1"/>
    <w:rsid w:val="5A1F6067"/>
    <w:rsid w:val="5A5B044A"/>
    <w:rsid w:val="5A6D3BE8"/>
    <w:rsid w:val="5A7D2AA2"/>
    <w:rsid w:val="5A7D6400"/>
    <w:rsid w:val="5A862593"/>
    <w:rsid w:val="5AAD0254"/>
    <w:rsid w:val="5AB268F3"/>
    <w:rsid w:val="5AEC106C"/>
    <w:rsid w:val="5B5828EC"/>
    <w:rsid w:val="5B770F95"/>
    <w:rsid w:val="5B7B1BA7"/>
    <w:rsid w:val="5BE659D3"/>
    <w:rsid w:val="5C0A6E8C"/>
    <w:rsid w:val="5C0C5C12"/>
    <w:rsid w:val="5C2313D1"/>
    <w:rsid w:val="5C576F8B"/>
    <w:rsid w:val="5C61531C"/>
    <w:rsid w:val="5CC608C4"/>
    <w:rsid w:val="5CDC4C66"/>
    <w:rsid w:val="5D3A4FFF"/>
    <w:rsid w:val="5D7054D9"/>
    <w:rsid w:val="5D7706E8"/>
    <w:rsid w:val="5DDD008C"/>
    <w:rsid w:val="5DEA4726"/>
    <w:rsid w:val="5DF52EC5"/>
    <w:rsid w:val="5E0B315A"/>
    <w:rsid w:val="5E19246F"/>
    <w:rsid w:val="5E9C71C5"/>
    <w:rsid w:val="5E9F4894"/>
    <w:rsid w:val="5F34063D"/>
    <w:rsid w:val="5F407CD3"/>
    <w:rsid w:val="5F7858AF"/>
    <w:rsid w:val="5F7F7267"/>
    <w:rsid w:val="5FE274DC"/>
    <w:rsid w:val="6025124B"/>
    <w:rsid w:val="604B6F0C"/>
    <w:rsid w:val="604C498D"/>
    <w:rsid w:val="60692FED"/>
    <w:rsid w:val="606E2944"/>
    <w:rsid w:val="607D515C"/>
    <w:rsid w:val="60A85FA1"/>
    <w:rsid w:val="60AA4D27"/>
    <w:rsid w:val="60BB2A43"/>
    <w:rsid w:val="60D34866"/>
    <w:rsid w:val="60F94DD1"/>
    <w:rsid w:val="611430D1"/>
    <w:rsid w:val="611E1462"/>
    <w:rsid w:val="612742F0"/>
    <w:rsid w:val="612855F5"/>
    <w:rsid w:val="612C0778"/>
    <w:rsid w:val="614C3FBB"/>
    <w:rsid w:val="61595DC4"/>
    <w:rsid w:val="617F6004"/>
    <w:rsid w:val="618A6593"/>
    <w:rsid w:val="61954924"/>
    <w:rsid w:val="61A11A3C"/>
    <w:rsid w:val="61C77DC4"/>
    <w:rsid w:val="61E16FA2"/>
    <w:rsid w:val="62230D10"/>
    <w:rsid w:val="62371F2F"/>
    <w:rsid w:val="62390CB6"/>
    <w:rsid w:val="623C3E38"/>
    <w:rsid w:val="627214BB"/>
    <w:rsid w:val="629E645C"/>
    <w:rsid w:val="62DE5BC0"/>
    <w:rsid w:val="63053881"/>
    <w:rsid w:val="63D07AD2"/>
    <w:rsid w:val="63DC38E5"/>
    <w:rsid w:val="6412053C"/>
    <w:rsid w:val="64451C8F"/>
    <w:rsid w:val="64515AA2"/>
    <w:rsid w:val="6523167D"/>
    <w:rsid w:val="6538251C"/>
    <w:rsid w:val="653A12A3"/>
    <w:rsid w:val="655578CE"/>
    <w:rsid w:val="656868EF"/>
    <w:rsid w:val="656D1C4C"/>
    <w:rsid w:val="65790D87"/>
    <w:rsid w:val="66123504"/>
    <w:rsid w:val="661F281A"/>
    <w:rsid w:val="663933C4"/>
    <w:rsid w:val="66BA4C17"/>
    <w:rsid w:val="66FF6992"/>
    <w:rsid w:val="670E24A3"/>
    <w:rsid w:val="672E4630"/>
    <w:rsid w:val="67762DCB"/>
    <w:rsid w:val="678C4F6F"/>
    <w:rsid w:val="67AD0D27"/>
    <w:rsid w:val="67D15A64"/>
    <w:rsid w:val="67F95923"/>
    <w:rsid w:val="6809233A"/>
    <w:rsid w:val="68860A0A"/>
    <w:rsid w:val="68A621EE"/>
    <w:rsid w:val="68E35521"/>
    <w:rsid w:val="69301E2A"/>
    <w:rsid w:val="6967137D"/>
    <w:rsid w:val="696E6789"/>
    <w:rsid w:val="699E3831"/>
    <w:rsid w:val="69DF7D42"/>
    <w:rsid w:val="6A046C7D"/>
    <w:rsid w:val="6A270136"/>
    <w:rsid w:val="6A2A10BB"/>
    <w:rsid w:val="6A7C5642"/>
    <w:rsid w:val="6A881455"/>
    <w:rsid w:val="6A8A23D9"/>
    <w:rsid w:val="6AA0237F"/>
    <w:rsid w:val="6AFF5C1B"/>
    <w:rsid w:val="6B0542A1"/>
    <w:rsid w:val="6B092CA7"/>
    <w:rsid w:val="6B2A6A5F"/>
    <w:rsid w:val="6B6A52CA"/>
    <w:rsid w:val="6B7248D5"/>
    <w:rsid w:val="6B814EF0"/>
    <w:rsid w:val="6C0905E4"/>
    <w:rsid w:val="6C2C50D0"/>
    <w:rsid w:val="6C354F35"/>
    <w:rsid w:val="6C5D7D56"/>
    <w:rsid w:val="6C5F3259"/>
    <w:rsid w:val="6C924D2D"/>
    <w:rsid w:val="6C9D6941"/>
    <w:rsid w:val="6CA13702"/>
    <w:rsid w:val="6CE56D35"/>
    <w:rsid w:val="6CF64A51"/>
    <w:rsid w:val="6D527369"/>
    <w:rsid w:val="6D68150D"/>
    <w:rsid w:val="6D7B5F18"/>
    <w:rsid w:val="6D7D01AD"/>
    <w:rsid w:val="6DA1296C"/>
    <w:rsid w:val="6DAD677E"/>
    <w:rsid w:val="6DE568D8"/>
    <w:rsid w:val="6DEE1968"/>
    <w:rsid w:val="6E391BE5"/>
    <w:rsid w:val="6EC7099E"/>
    <w:rsid w:val="6EC76ECB"/>
    <w:rsid w:val="6ED36561"/>
    <w:rsid w:val="6EF44517"/>
    <w:rsid w:val="6F4D0429"/>
    <w:rsid w:val="6F4E5EAA"/>
    <w:rsid w:val="6F7E0BF8"/>
    <w:rsid w:val="6F8E6C94"/>
    <w:rsid w:val="6FB1014D"/>
    <w:rsid w:val="6FF156B3"/>
    <w:rsid w:val="6FF51B3B"/>
    <w:rsid w:val="703A2630"/>
    <w:rsid w:val="70581BE0"/>
    <w:rsid w:val="70655672"/>
    <w:rsid w:val="70920AC0"/>
    <w:rsid w:val="70E75C27"/>
    <w:rsid w:val="710245F7"/>
    <w:rsid w:val="71671D9D"/>
    <w:rsid w:val="719B34F1"/>
    <w:rsid w:val="71BB3A25"/>
    <w:rsid w:val="71D758D4"/>
    <w:rsid w:val="71FD7D12"/>
    <w:rsid w:val="720E3C12"/>
    <w:rsid w:val="72415F00"/>
    <w:rsid w:val="72632F3A"/>
    <w:rsid w:val="729F4E01"/>
    <w:rsid w:val="72D75477"/>
    <w:rsid w:val="72DA05FA"/>
    <w:rsid w:val="730317BE"/>
    <w:rsid w:val="73050544"/>
    <w:rsid w:val="731352DC"/>
    <w:rsid w:val="739048A5"/>
    <w:rsid w:val="739C3F3B"/>
    <w:rsid w:val="73CE5A0F"/>
    <w:rsid w:val="73E51DB1"/>
    <w:rsid w:val="73F23645"/>
    <w:rsid w:val="74031361"/>
    <w:rsid w:val="74075D16"/>
    <w:rsid w:val="74484054"/>
    <w:rsid w:val="7475039B"/>
    <w:rsid w:val="74792624"/>
    <w:rsid w:val="74A4476D"/>
    <w:rsid w:val="74A71E6F"/>
    <w:rsid w:val="750E2B18"/>
    <w:rsid w:val="75155D26"/>
    <w:rsid w:val="754045EC"/>
    <w:rsid w:val="75625E25"/>
    <w:rsid w:val="758208D8"/>
    <w:rsid w:val="75AE4C20"/>
    <w:rsid w:val="75C15E3F"/>
    <w:rsid w:val="75C500C8"/>
    <w:rsid w:val="75DF0C72"/>
    <w:rsid w:val="75E572F8"/>
    <w:rsid w:val="760652AE"/>
    <w:rsid w:val="760C2A3B"/>
    <w:rsid w:val="76170DCC"/>
    <w:rsid w:val="7621715D"/>
    <w:rsid w:val="762635E5"/>
    <w:rsid w:val="762E09F1"/>
    <w:rsid w:val="763306FC"/>
    <w:rsid w:val="76470B6B"/>
    <w:rsid w:val="766D3D59"/>
    <w:rsid w:val="76920715"/>
    <w:rsid w:val="76B7138F"/>
    <w:rsid w:val="77C13386"/>
    <w:rsid w:val="780A11FC"/>
    <w:rsid w:val="78A27DF6"/>
    <w:rsid w:val="78B8391E"/>
    <w:rsid w:val="78D6556D"/>
    <w:rsid w:val="79285776"/>
    <w:rsid w:val="79641AF0"/>
    <w:rsid w:val="798058E5"/>
    <w:rsid w:val="7A335389"/>
    <w:rsid w:val="7A6413DB"/>
    <w:rsid w:val="7AA177D6"/>
    <w:rsid w:val="7AC953F3"/>
    <w:rsid w:val="7AFD02D5"/>
    <w:rsid w:val="7B186900"/>
    <w:rsid w:val="7B2C55A1"/>
    <w:rsid w:val="7B3F45C1"/>
    <w:rsid w:val="7B646D7F"/>
    <w:rsid w:val="7B6569FF"/>
    <w:rsid w:val="7B762D8A"/>
    <w:rsid w:val="7B912D47"/>
    <w:rsid w:val="7BC73221"/>
    <w:rsid w:val="7BCF062D"/>
    <w:rsid w:val="7BD01932"/>
    <w:rsid w:val="7BF54FE9"/>
    <w:rsid w:val="7C482875"/>
    <w:rsid w:val="7C517901"/>
    <w:rsid w:val="7C7B6547"/>
    <w:rsid w:val="7CB72B29"/>
    <w:rsid w:val="7CC51E3F"/>
    <w:rsid w:val="7CD633DE"/>
    <w:rsid w:val="7CE45F56"/>
    <w:rsid w:val="7CF53C93"/>
    <w:rsid w:val="7D202558"/>
    <w:rsid w:val="7D306F70"/>
    <w:rsid w:val="7D7D7B1D"/>
    <w:rsid w:val="7DAC213C"/>
    <w:rsid w:val="7DD554FF"/>
    <w:rsid w:val="7DF969B8"/>
    <w:rsid w:val="7E034D49"/>
    <w:rsid w:val="7E05024D"/>
    <w:rsid w:val="7E125364"/>
    <w:rsid w:val="7E607661"/>
    <w:rsid w:val="7E6924EF"/>
    <w:rsid w:val="7E813419"/>
    <w:rsid w:val="7EB625EF"/>
    <w:rsid w:val="7EB85AF2"/>
    <w:rsid w:val="7ECD5A97"/>
    <w:rsid w:val="7EEA75C6"/>
    <w:rsid w:val="7EEC2FA4"/>
    <w:rsid w:val="7F0C2FFD"/>
    <w:rsid w:val="7F0F104F"/>
    <w:rsid w:val="7F186E10"/>
    <w:rsid w:val="7F1F679B"/>
    <w:rsid w:val="7F64728F"/>
    <w:rsid w:val="7F654D11"/>
    <w:rsid w:val="7FD717C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99" w:semiHidden="0" w:name="Normal Indent"/>
    <w:lsdException w:unhideWhenUsed="0" w:uiPriority="99" w:semiHidden="0" w:name="footnote text"/>
    <w:lsdException w:unhideWhenUsed="0" w:uiPriority="99" w:semiHidden="0" w:name="annotation text"/>
    <w:lsdException w:qFormat="1" w:uiPriority="99" w:semiHidden="0" w:name="header"/>
    <w:lsdException w:qFormat="1" w:uiPriority="99" w:semiHidden="0" w:name="footer"/>
    <w:lsdException w:unhideWhenUsed="0" w:uiPriority="99" w:semiHidden="0" w:name="index heading"/>
    <w:lsdException w:qFormat="1" w:uiPriority="35"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iPriority="99" w:name="table of authorities"/>
    <w:lsdException w:unhideWhenUsed="0" w:uiPriority="99" w:semiHidden="0" w:name="macro"/>
    <w:lsdException w:unhideWhenUsed="0" w:uiPriority="99" w:semiHidden="0" w:name="toa heading"/>
    <w:lsdException w:uiPriority="99" w:name="List"/>
    <w:lsdException w:uiPriority="99"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qFormat="1" w:unhideWhenUsed="0" w:uiPriority="10" w:semiHidden="0" w:name="Title"/>
    <w:lsdException w:unhideWhenUsed="0" w:uiPriority="99" w:semiHidden="0" w:name="Closing"/>
    <w:lsdException w:unhideWhenUsed="0" w:uiPriority="99" w:semiHidden="0" w:name="Signature"/>
    <w:lsdException w:qFormat="1" w:uiPriority="1" w:name="Default Paragraph Font"/>
    <w:lsdException w:unhideWhenUsed="0" w:uiPriority="99" w:semiHidden="0" w:name="Body Text"/>
    <w:lsdException w:unhideWhenUsed="0" w:uiPriority="99" w:semiHidden="0" w:name="Body Text Indent"/>
    <w:lsdException w:unhideWhenUsed="0" w:uiPriority="99" w:semiHidden="0" w:name="List Continue"/>
    <w:lsdException w:uiPriority="99" w:name="List Continue 2"/>
    <w:lsdException w:uiPriority="99" w:name="List Continue 3"/>
    <w:lsdException w:uiPriority="99" w:name="List Continue 4"/>
    <w:lsdException w:uiPriority="99" w:name="List Continue 5"/>
    <w:lsdException w:unhideWhenUsed="0" w:uiPriority="99" w:semiHidden="0" w:name="Message Header"/>
    <w:lsdException w:qFormat="1" w:unhideWhenUsed="0" w:uiPriority="11"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qFormat="1" w:uiPriority="99" w:semiHidden="0" w:name="Hyperlink"/>
    <w:lsdException w:unhideWhenUsed="0" w:uiPriority="99" w:semiHidden="0" w:name="FollowedHyperlink"/>
    <w:lsdException w:qFormat="1" w:unhideWhenUsed="0" w:uiPriority="22" w:semiHidden="0" w:name="Strong"/>
    <w:lsdException w:qFormat="1" w:unhideWhenUsed="0" w:uiPriority="20"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pPr>
    <w:rPr>
      <w:rFonts w:ascii="华文琥珀" w:hAnsi="Calibri" w:eastAsia="华文琥珀" w:cs="Times New Roman"/>
      <w:b/>
      <w:bCs/>
      <w:color w:val="E46C0A" w:themeColor="accent6" w:themeShade="BF"/>
      <w:kern w:val="2"/>
      <w:sz w:val="24"/>
      <w:szCs w:val="24"/>
      <w:lang w:val="en-US" w:eastAsia="zh-CN" w:bidi="ar-SA"/>
    </w:rPr>
  </w:style>
  <w:style w:type="paragraph" w:styleId="2">
    <w:name w:val="heading 1"/>
    <w:basedOn w:val="1"/>
    <w:next w:val="1"/>
    <w:link w:val="15"/>
    <w:autoRedefine/>
    <w:qFormat/>
    <w:uiPriority w:val="9"/>
    <w:pPr>
      <w:keepNext/>
      <w:keepLines/>
      <w:spacing w:before="340" w:after="330" w:line="578" w:lineRule="auto"/>
      <w:outlineLvl w:val="0"/>
    </w:pPr>
    <w:rPr>
      <w:b w:val="0"/>
      <w:bCs w:val="0"/>
      <w:color w:val="E46C0A" w:themeColor="accent6" w:themeShade="BF"/>
      <w:kern w:val="44"/>
      <w:sz w:val="44"/>
      <w:szCs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val="0"/>
      <w:sz w:val="32"/>
    </w:rPr>
  </w:style>
  <w:style w:type="paragraph" w:styleId="4">
    <w:name w:val="heading 3"/>
    <w:basedOn w:val="1"/>
    <w:next w:val="1"/>
    <w:unhideWhenUsed/>
    <w:qFormat/>
    <w:uiPriority w:val="9"/>
    <w:pPr>
      <w:keepNext/>
      <w:keepLines/>
      <w:spacing w:before="260" w:beforeLines="0" w:beforeAutospacing="0" w:after="260" w:afterLines="0" w:afterAutospacing="0" w:line="413" w:lineRule="auto"/>
      <w:outlineLvl w:val="2"/>
    </w:pPr>
    <w:rPr>
      <w:b w:val="0"/>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40"/>
    <w:semiHidden/>
    <w:unhideWhenUsed/>
    <w:qFormat/>
    <w:uiPriority w:val="99"/>
    <w:rPr>
      <w:color w:val="E46C0A" w:themeColor="accent6" w:themeShade="BF"/>
      <w:sz w:val="18"/>
      <w:szCs w:val="18"/>
    </w:rPr>
  </w:style>
  <w:style w:type="paragraph" w:styleId="6">
    <w:name w:val="footer"/>
    <w:basedOn w:val="1"/>
    <w:link w:val="37"/>
    <w:autoRedefine/>
    <w:unhideWhenUsed/>
    <w:qFormat/>
    <w:uiPriority w:val="99"/>
    <w:pPr>
      <w:tabs>
        <w:tab w:val="center" w:pos="4153"/>
        <w:tab w:val="right" w:pos="8306"/>
      </w:tabs>
      <w:snapToGrid w:val="0"/>
    </w:pPr>
    <w:rPr>
      <w:color w:val="E46C0A" w:themeColor="accent6" w:themeShade="BF"/>
      <w:sz w:val="18"/>
      <w:szCs w:val="18"/>
    </w:rPr>
  </w:style>
  <w:style w:type="paragraph" w:styleId="7">
    <w:name w:val="header"/>
    <w:basedOn w:val="1"/>
    <w:link w:val="36"/>
    <w:autoRedefine/>
    <w:unhideWhenUsed/>
    <w:qFormat/>
    <w:uiPriority w:val="99"/>
    <w:pPr>
      <w:pBdr>
        <w:bottom w:val="single" w:color="auto" w:sz="6" w:space="1"/>
      </w:pBdr>
      <w:tabs>
        <w:tab w:val="center" w:pos="4153"/>
        <w:tab w:val="right" w:pos="8306"/>
      </w:tabs>
      <w:snapToGrid w:val="0"/>
      <w:jc w:val="center"/>
    </w:pPr>
    <w:rPr>
      <w:color w:val="E46C0A" w:themeColor="accent6" w:themeShade="BF"/>
      <w:sz w:val="18"/>
      <w:szCs w:val="18"/>
    </w:rPr>
  </w:style>
  <w:style w:type="paragraph" w:styleId="8">
    <w:name w:val="toc 1"/>
    <w:basedOn w:val="1"/>
    <w:next w:val="1"/>
    <w:autoRedefine/>
    <w:unhideWhenUsed/>
    <w:qFormat/>
    <w:uiPriority w:val="39"/>
    <w:pPr>
      <w:tabs>
        <w:tab w:val="right" w:leader="dot" w:pos="10733"/>
      </w:tabs>
      <w:spacing w:line="360" w:lineRule="auto"/>
    </w:pPr>
    <w:rPr>
      <w:color w:val="E46C0A" w:themeColor="accent6" w:themeShade="BF"/>
    </w:rPr>
  </w:style>
  <w:style w:type="paragraph" w:styleId="9">
    <w:name w:val="Normal (Web)"/>
    <w:basedOn w:val="1"/>
    <w:unhideWhenUsed/>
    <w:qFormat/>
    <w:uiPriority w:val="99"/>
    <w:pPr>
      <w:widowControl/>
      <w:spacing w:before="100" w:beforeAutospacing="1" w:after="100" w:afterAutospacing="1"/>
    </w:pPr>
    <w:rPr>
      <w:rFonts w:ascii="宋体" w:hAnsi="宋体" w:cs="宋体"/>
      <w:color w:val="E46C0A" w:themeColor="accent6" w:themeShade="BF"/>
      <w:kern w:val="0"/>
    </w:rPr>
  </w:style>
  <w:style w:type="paragraph" w:styleId="10">
    <w:name w:val="Title"/>
    <w:basedOn w:val="1"/>
    <w:next w:val="1"/>
    <w:link w:val="38"/>
    <w:autoRedefine/>
    <w:qFormat/>
    <w:uiPriority w:val="10"/>
    <w:pPr>
      <w:spacing w:before="240" w:after="60"/>
      <w:outlineLvl w:val="0"/>
    </w:pPr>
    <w:rPr>
      <w:rFonts w:ascii="微软雅黑" w:hAnsi="微软雅黑" w:eastAsia="微软雅黑"/>
      <w:color w:val="558ED5" w:themeColor="text2" w:themeTint="99"/>
      <w:sz w:val="32"/>
      <w:szCs w:val="32"/>
      <w14:textFill>
        <w14:solidFill>
          <w14:schemeClr w14:val="tx2">
            <w14:lumMod w14:val="60000"/>
            <w14:lumOff w14:val="40000"/>
          </w14:schemeClr>
        </w14:solidFill>
      </w14:textFill>
    </w:rPr>
  </w:style>
  <w:style w:type="table" w:styleId="12">
    <w:name w:val="Table Grid"/>
    <w:basedOn w:val="11"/>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autoRedefine/>
    <w:unhideWhenUsed/>
    <w:qFormat/>
    <w:uiPriority w:val="99"/>
    <w:rPr>
      <w:color w:val="0000FF"/>
      <w:u w:val="single"/>
    </w:rPr>
  </w:style>
  <w:style w:type="character" w:customStyle="1" w:styleId="15">
    <w:name w:val="标题 1 字符"/>
    <w:link w:val="2"/>
    <w:autoRedefine/>
    <w:qFormat/>
    <w:locked/>
    <w:uiPriority w:val="9"/>
    <w:rPr>
      <w:b/>
      <w:kern w:val="44"/>
      <w:sz w:val="44"/>
    </w:rPr>
  </w:style>
  <w:style w:type="paragraph" w:customStyle="1" w:styleId="16">
    <w:name w:val="TOC 标题1"/>
    <w:basedOn w:val="2"/>
    <w:next w:val="1"/>
    <w:autoRedefine/>
    <w:semiHidden/>
    <w:unhideWhenUsed/>
    <w:qFormat/>
    <w:uiPriority w:val="39"/>
    <w:pPr>
      <w:widowControl/>
      <w:spacing w:before="480" w:after="0" w:line="276" w:lineRule="auto"/>
      <w:outlineLvl w:val="9"/>
    </w:pPr>
    <w:rPr>
      <w:rFonts w:ascii="Cambria" w:hAnsi="Cambria"/>
      <w:color w:val="365F91"/>
      <w:kern w:val="0"/>
      <w:sz w:val="28"/>
      <w:szCs w:val="28"/>
    </w:rPr>
  </w:style>
  <w:style w:type="paragraph" w:customStyle="1" w:styleId="17">
    <w:name w:val="Default"/>
    <w:autoRedefine/>
    <w:qFormat/>
    <w:uiPriority w:val="0"/>
    <w:pPr>
      <w:widowControl w:val="0"/>
      <w:autoSpaceDE w:val="0"/>
      <w:autoSpaceDN w:val="0"/>
      <w:adjustRightInd w:val="0"/>
    </w:pPr>
    <w:rPr>
      <w:rFonts w:ascii="Myriad Pro Cond" w:hAnsi="Calibri" w:eastAsia="Myriad Pro Cond" w:cs="Myriad Pro Cond"/>
      <w:color w:val="000000"/>
      <w:sz w:val="24"/>
      <w:szCs w:val="24"/>
      <w:lang w:val="en-US" w:eastAsia="zh-CN" w:bidi="ar-SA"/>
    </w:rPr>
  </w:style>
  <w:style w:type="paragraph" w:customStyle="1" w:styleId="18">
    <w:name w:val="CM1"/>
    <w:basedOn w:val="17"/>
    <w:next w:val="17"/>
    <w:autoRedefine/>
    <w:qFormat/>
    <w:uiPriority w:val="99"/>
    <w:rPr>
      <w:rFonts w:cs="Times New Roman"/>
      <w:color w:val="auto"/>
    </w:rPr>
  </w:style>
  <w:style w:type="paragraph" w:customStyle="1" w:styleId="19">
    <w:name w:val="CM18"/>
    <w:basedOn w:val="17"/>
    <w:next w:val="17"/>
    <w:autoRedefine/>
    <w:qFormat/>
    <w:uiPriority w:val="99"/>
    <w:pPr>
      <w:spacing w:after="803"/>
    </w:pPr>
    <w:rPr>
      <w:rFonts w:cs="Times New Roman"/>
      <w:color w:val="auto"/>
    </w:rPr>
  </w:style>
  <w:style w:type="paragraph" w:customStyle="1" w:styleId="20">
    <w:name w:val="CM2"/>
    <w:basedOn w:val="17"/>
    <w:next w:val="17"/>
    <w:autoRedefine/>
    <w:qFormat/>
    <w:uiPriority w:val="99"/>
    <w:rPr>
      <w:rFonts w:cs="Times New Roman"/>
      <w:color w:val="auto"/>
    </w:rPr>
  </w:style>
  <w:style w:type="paragraph" w:customStyle="1" w:styleId="21">
    <w:name w:val="CM3"/>
    <w:basedOn w:val="17"/>
    <w:next w:val="17"/>
    <w:autoRedefine/>
    <w:qFormat/>
    <w:uiPriority w:val="99"/>
    <w:pPr>
      <w:spacing w:line="433" w:lineRule="atLeast"/>
    </w:pPr>
    <w:rPr>
      <w:rFonts w:cs="Times New Roman"/>
      <w:color w:val="auto"/>
    </w:rPr>
  </w:style>
  <w:style w:type="paragraph" w:customStyle="1" w:styleId="22">
    <w:name w:val="CM19"/>
    <w:basedOn w:val="17"/>
    <w:next w:val="17"/>
    <w:autoRedefine/>
    <w:qFormat/>
    <w:uiPriority w:val="99"/>
    <w:pPr>
      <w:spacing w:after="180"/>
      <w:ind w:firstLine="560" w:firstLineChars="200"/>
    </w:pPr>
    <w:rPr>
      <w:rFonts w:cs="Times New Roman"/>
      <w:color w:val="auto"/>
      <w:sz w:val="28"/>
      <w:szCs w:val="28"/>
    </w:rPr>
  </w:style>
  <w:style w:type="paragraph" w:customStyle="1" w:styleId="23">
    <w:name w:val="CM20"/>
    <w:basedOn w:val="17"/>
    <w:next w:val="17"/>
    <w:autoRedefine/>
    <w:qFormat/>
    <w:uiPriority w:val="99"/>
    <w:pPr>
      <w:spacing w:after="80"/>
    </w:pPr>
    <w:rPr>
      <w:rFonts w:cs="Times New Roman"/>
      <w:color w:val="auto"/>
    </w:rPr>
  </w:style>
  <w:style w:type="paragraph" w:customStyle="1" w:styleId="24">
    <w:name w:val="CM4"/>
    <w:basedOn w:val="17"/>
    <w:next w:val="17"/>
    <w:autoRedefine/>
    <w:qFormat/>
    <w:uiPriority w:val="99"/>
    <w:pPr>
      <w:spacing w:line="258" w:lineRule="atLeast"/>
    </w:pPr>
    <w:rPr>
      <w:rFonts w:cs="Times New Roman"/>
      <w:color w:val="auto"/>
    </w:rPr>
  </w:style>
  <w:style w:type="paragraph" w:customStyle="1" w:styleId="25">
    <w:name w:val="CM21"/>
    <w:basedOn w:val="17"/>
    <w:next w:val="17"/>
    <w:autoRedefine/>
    <w:qFormat/>
    <w:uiPriority w:val="99"/>
    <w:pPr>
      <w:spacing w:after="238"/>
    </w:pPr>
    <w:rPr>
      <w:rFonts w:cs="Times New Roman"/>
      <w:color w:val="auto"/>
    </w:rPr>
  </w:style>
  <w:style w:type="paragraph" w:customStyle="1" w:styleId="26">
    <w:name w:val="CM5"/>
    <w:basedOn w:val="17"/>
    <w:next w:val="17"/>
    <w:autoRedefine/>
    <w:qFormat/>
    <w:uiPriority w:val="99"/>
    <w:pPr>
      <w:spacing w:line="291" w:lineRule="atLeast"/>
    </w:pPr>
    <w:rPr>
      <w:rFonts w:cs="Times New Roman"/>
      <w:color w:val="auto"/>
    </w:rPr>
  </w:style>
  <w:style w:type="paragraph" w:customStyle="1" w:styleId="27">
    <w:name w:val="CM6"/>
    <w:basedOn w:val="17"/>
    <w:next w:val="17"/>
    <w:autoRedefine/>
    <w:qFormat/>
    <w:uiPriority w:val="99"/>
    <w:pPr>
      <w:spacing w:line="320" w:lineRule="atLeast"/>
    </w:pPr>
    <w:rPr>
      <w:rFonts w:cs="Times New Roman"/>
      <w:color w:val="auto"/>
    </w:rPr>
  </w:style>
  <w:style w:type="paragraph" w:customStyle="1" w:styleId="28">
    <w:name w:val="CM22"/>
    <w:basedOn w:val="17"/>
    <w:next w:val="17"/>
    <w:autoRedefine/>
    <w:qFormat/>
    <w:uiPriority w:val="99"/>
    <w:pPr>
      <w:spacing w:after="383" w:line="320" w:lineRule="atLeast"/>
      <w:ind w:right="93"/>
      <w:jc w:val="center"/>
    </w:pPr>
    <w:rPr>
      <w:rFonts w:ascii="微软雅黑" w:hAnsi="微软雅黑" w:eastAsia="微软雅黑" w:cs="Times New Roman"/>
      <w:bCs/>
      <w:color w:val="auto"/>
      <w:sz w:val="28"/>
      <w:szCs w:val="28"/>
    </w:rPr>
  </w:style>
  <w:style w:type="paragraph" w:customStyle="1" w:styleId="29">
    <w:name w:val="CM9"/>
    <w:basedOn w:val="17"/>
    <w:next w:val="17"/>
    <w:autoRedefine/>
    <w:qFormat/>
    <w:uiPriority w:val="99"/>
    <w:pPr>
      <w:spacing w:line="323" w:lineRule="atLeast"/>
    </w:pPr>
    <w:rPr>
      <w:rFonts w:cs="Times New Roman"/>
      <w:color w:val="auto"/>
    </w:rPr>
  </w:style>
  <w:style w:type="paragraph" w:customStyle="1" w:styleId="30">
    <w:name w:val="CM10"/>
    <w:basedOn w:val="17"/>
    <w:next w:val="17"/>
    <w:autoRedefine/>
    <w:qFormat/>
    <w:uiPriority w:val="99"/>
    <w:pPr>
      <w:spacing w:line="320" w:lineRule="atLeast"/>
    </w:pPr>
    <w:rPr>
      <w:rFonts w:cs="Times New Roman"/>
      <w:color w:val="auto"/>
    </w:rPr>
  </w:style>
  <w:style w:type="paragraph" w:customStyle="1" w:styleId="31">
    <w:name w:val="CM11"/>
    <w:basedOn w:val="17"/>
    <w:next w:val="17"/>
    <w:autoRedefine/>
    <w:qFormat/>
    <w:uiPriority w:val="99"/>
    <w:pPr>
      <w:spacing w:line="320" w:lineRule="atLeast"/>
    </w:pPr>
    <w:rPr>
      <w:rFonts w:cs="Times New Roman"/>
      <w:color w:val="auto"/>
    </w:rPr>
  </w:style>
  <w:style w:type="paragraph" w:customStyle="1" w:styleId="32">
    <w:name w:val="CM12"/>
    <w:basedOn w:val="17"/>
    <w:next w:val="17"/>
    <w:autoRedefine/>
    <w:qFormat/>
    <w:uiPriority w:val="99"/>
    <w:pPr>
      <w:spacing w:line="320" w:lineRule="atLeast"/>
    </w:pPr>
    <w:rPr>
      <w:rFonts w:cs="Times New Roman"/>
      <w:color w:val="auto"/>
    </w:rPr>
  </w:style>
  <w:style w:type="paragraph" w:customStyle="1" w:styleId="33">
    <w:name w:val="CM14"/>
    <w:basedOn w:val="17"/>
    <w:next w:val="17"/>
    <w:autoRedefine/>
    <w:qFormat/>
    <w:uiPriority w:val="99"/>
    <w:rPr>
      <w:rFonts w:cs="Times New Roman"/>
      <w:color w:val="auto"/>
    </w:rPr>
  </w:style>
  <w:style w:type="paragraph" w:customStyle="1" w:styleId="34">
    <w:name w:val="CM15"/>
    <w:basedOn w:val="17"/>
    <w:next w:val="17"/>
    <w:autoRedefine/>
    <w:qFormat/>
    <w:uiPriority w:val="99"/>
    <w:rPr>
      <w:rFonts w:cs="Times New Roman"/>
      <w:color w:val="auto"/>
    </w:rPr>
  </w:style>
  <w:style w:type="paragraph" w:customStyle="1" w:styleId="35">
    <w:name w:val="CM16"/>
    <w:basedOn w:val="17"/>
    <w:next w:val="17"/>
    <w:autoRedefine/>
    <w:qFormat/>
    <w:uiPriority w:val="99"/>
    <w:pPr>
      <w:spacing w:line="223" w:lineRule="atLeast"/>
    </w:pPr>
    <w:rPr>
      <w:rFonts w:cs="Times New Roman"/>
      <w:color w:val="auto"/>
    </w:rPr>
  </w:style>
  <w:style w:type="character" w:customStyle="1" w:styleId="36">
    <w:name w:val="页眉 字符"/>
    <w:link w:val="7"/>
    <w:autoRedefine/>
    <w:qFormat/>
    <w:locked/>
    <w:uiPriority w:val="99"/>
    <w:rPr>
      <w:sz w:val="18"/>
    </w:rPr>
  </w:style>
  <w:style w:type="character" w:customStyle="1" w:styleId="37">
    <w:name w:val="页脚 字符"/>
    <w:link w:val="6"/>
    <w:autoRedefine/>
    <w:qFormat/>
    <w:locked/>
    <w:uiPriority w:val="99"/>
    <w:rPr>
      <w:sz w:val="18"/>
    </w:rPr>
  </w:style>
  <w:style w:type="character" w:customStyle="1" w:styleId="38">
    <w:name w:val="标题 字符"/>
    <w:link w:val="10"/>
    <w:autoRedefine/>
    <w:qFormat/>
    <w:locked/>
    <w:uiPriority w:val="10"/>
    <w:rPr>
      <w:rFonts w:ascii="微软雅黑" w:hAnsi="微软雅黑" w:eastAsia="微软雅黑"/>
      <w:b/>
      <w:bCs/>
      <w:color w:val="558ED5" w:themeColor="text2" w:themeTint="99"/>
      <w:kern w:val="2"/>
      <w:sz w:val="32"/>
      <w:szCs w:val="32"/>
      <w14:textFill>
        <w14:solidFill>
          <w14:schemeClr w14:val="tx2">
            <w14:lumMod w14:val="60000"/>
            <w14:lumOff w14:val="40000"/>
          </w14:schemeClr>
        </w14:solidFill>
      </w14:textFill>
    </w:rPr>
  </w:style>
  <w:style w:type="character" w:customStyle="1" w:styleId="39">
    <w:name w:val="未处理的提及1"/>
    <w:autoRedefine/>
    <w:semiHidden/>
    <w:unhideWhenUsed/>
    <w:qFormat/>
    <w:uiPriority w:val="99"/>
    <w:rPr>
      <w:color w:val="605E5C"/>
      <w:shd w:val="clear" w:color="auto" w:fill="E1DFDD"/>
    </w:rPr>
  </w:style>
  <w:style w:type="character" w:customStyle="1" w:styleId="40">
    <w:name w:val="批注框文本 字符"/>
    <w:basedOn w:val="13"/>
    <w:link w:val="5"/>
    <w:semiHidden/>
    <w:qFormat/>
    <w:uiPriority w:val="99"/>
    <w:rPr>
      <w:rFonts w:ascii="Calibri" w:hAnsi="Calibri"/>
      <w:kern w:val="2"/>
      <w:sz w:val="18"/>
      <w:szCs w:val="18"/>
    </w:rPr>
  </w:style>
  <w:style w:type="paragraph" w:styleId="41">
    <w:name w:val="List Paragraph"/>
    <w:basedOn w:val="1"/>
    <w:qFormat/>
    <w:uiPriority w:val="99"/>
    <w:pPr>
      <w:ind w:firstLine="420" w:firstLineChars="200"/>
    </w:pPr>
    <w:rPr>
      <w:color w:val="E46C0A" w:themeColor="accent6" w:themeShade="BF"/>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12</Pages>
  <Words>3919</Words>
  <Characters>4647</Characters>
  <Lines>35</Lines>
  <Paragraphs>9</Paragraphs>
  <TotalTime>0</TotalTime>
  <ScaleCrop>false</ScaleCrop>
  <LinksUpToDate>false</LinksUpToDate>
  <CharactersWithSpaces>4712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2024-08-21T01:46:00Z</dcterms:created>
  <dc:creator>崇靖 刘</dc:creator>
  <cp:lastModifiedBy>WPS_1668994016</cp:lastModifiedBy>
  <dcterms:modified xsi:type="dcterms:W3CDTF">2026-03-30T05:31:02Z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DF8BD69A08C5410596444D8AB819D7BD_13</vt:lpwstr>
  </property>
  <property fmtid="{D5CDD505-2E9C-101B-9397-08002B2CF9AE}" pid="4" name="KSOTemplateDocerSaveRecord">
    <vt:lpwstr>eyJoZGlkIjoiMzIzODRiNTExMTgwZWM1M2MwM2M5MTMzZjRjOTI3ZDYiLCJ1c2VySWQiOiIxNDQ0OTI1NTA2In0=</vt:lpwstr>
  </property>
</Properties>
</file>